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1E23" w14:textId="739D08A7" w:rsidR="00682D71" w:rsidRDefault="00171CC3">
      <w:r>
        <w:rPr>
          <w:noProof/>
        </w:rPr>
        <w:drawing>
          <wp:anchor distT="0" distB="0" distL="114300" distR="114300" simplePos="0" relativeHeight="251659264" behindDoc="1" locked="0" layoutInCell="1" allowOverlap="1" wp14:anchorId="6A61DFF5" wp14:editId="6318911E">
            <wp:simplePos x="0" y="0"/>
            <wp:positionH relativeFrom="column">
              <wp:posOffset>1060704</wp:posOffset>
            </wp:positionH>
            <wp:positionV relativeFrom="paragraph">
              <wp:posOffset>17290</wp:posOffset>
            </wp:positionV>
            <wp:extent cx="3721100" cy="644869"/>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21100" cy="644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6E08" w14:textId="77777777" w:rsidR="00171CC3" w:rsidRPr="00171CC3" w:rsidRDefault="00171CC3" w:rsidP="00171CC3"/>
    <w:p w14:paraId="45427FC3" w14:textId="77777777" w:rsidR="00171CC3" w:rsidRPr="00A95390" w:rsidRDefault="00171CC3" w:rsidP="00171CC3">
      <w:pPr>
        <w:widowControl w:val="0"/>
        <w:autoSpaceDE w:val="0"/>
        <w:autoSpaceDN w:val="0"/>
        <w:spacing w:before="40" w:line="305" w:lineRule="auto"/>
        <w:ind w:right="432"/>
        <w:rPr>
          <w:rFonts w:ascii="Montserrat" w:eastAsia="Calibri" w:hAnsi="Montserrat" w:cs="Calibri"/>
          <w:color w:val="4A9EFF"/>
          <w:sz w:val="44"/>
          <w:szCs w:val="54"/>
          <w:lang w:bidi="en-US"/>
        </w:rPr>
      </w:pPr>
      <w:r w:rsidRPr="00A95390">
        <w:rPr>
          <w:rFonts w:ascii="Montserrat" w:eastAsia="Calibri" w:hAnsi="Montserrat" w:cs="Calibri"/>
          <w:noProof/>
          <w:lang w:bidi="en-US"/>
        </w:rPr>
        <mc:AlternateContent>
          <mc:Choice Requires="wps">
            <w:drawing>
              <wp:anchor distT="0" distB="0" distL="114300" distR="114300" simplePos="0" relativeHeight="251662336" behindDoc="0" locked="0" layoutInCell="1" allowOverlap="1" wp14:anchorId="29894559" wp14:editId="12363257">
                <wp:simplePos x="0" y="0"/>
                <wp:positionH relativeFrom="margin">
                  <wp:align>right</wp:align>
                </wp:positionH>
                <wp:positionV relativeFrom="paragraph">
                  <wp:posOffset>335915</wp:posOffset>
                </wp:positionV>
                <wp:extent cx="591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8193F7"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26.45pt" to="880.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" strokecolor="#64ce3a" strokeweight="1.5pt">
                <v:stroke joinstyle="miter"/>
                <w10:wrap anchorx="margin"/>
              </v:line>
            </w:pict>
          </mc:Fallback>
        </mc:AlternateContent>
      </w:r>
    </w:p>
    <w:p w14:paraId="232C432B"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Times New Roman"/>
          <w:color w:val="00AEDB"/>
          <w:sz w:val="24"/>
          <w:szCs w:val="24"/>
        </w:rPr>
      </w:pPr>
    </w:p>
    <w:p w14:paraId="74198E9A"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171CC3">
        <w:rPr>
          <w:rFonts w:ascii="Futura" w:eastAsia="Calibri" w:hAnsi="Futura" w:cs="Calibri"/>
          <w:b/>
          <w:bCs/>
          <w:color w:val="00AEDB"/>
          <w:sz w:val="24"/>
          <w:szCs w:val="24"/>
          <w:lang w:bidi="en-US"/>
        </w:rPr>
        <w:t xml:space="preserve">Policy and Procedure </w:t>
      </w:r>
    </w:p>
    <w:p w14:paraId="13809CD0" w14:textId="0B0B2A8D" w:rsidR="00171CC3" w:rsidRPr="00171CC3" w:rsidRDefault="00226EA5"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Pr>
          <w:rFonts w:ascii="Futura" w:eastAsia="Calibri" w:hAnsi="Futura" w:cs="Calibri"/>
          <w:b/>
          <w:bCs/>
          <w:color w:val="00AEDB"/>
          <w:sz w:val="24"/>
          <w:szCs w:val="24"/>
          <w:lang w:bidi="en-US"/>
        </w:rPr>
        <w:t>Asthma</w:t>
      </w:r>
    </w:p>
    <w:p w14:paraId="725FCE8A" w14:textId="6392C903" w:rsidR="00AD64AA" w:rsidRPr="00AD64AA" w:rsidRDefault="00171CC3" w:rsidP="00AD64AA">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POLICY #</w:t>
      </w:r>
      <w:r w:rsidR="0033442B" w:rsidRPr="005226EB">
        <w:rPr>
          <w:rFonts w:ascii="Futura" w:eastAsia="Calibri" w:hAnsi="Futura" w:cs="Calibri"/>
          <w:b/>
          <w:bCs/>
          <w:color w:val="00AEDB"/>
          <w:sz w:val="24"/>
          <w:szCs w:val="24"/>
          <w:lang w:bidi="en-US"/>
        </w:rPr>
        <w:t xml:space="preserve"> </w:t>
      </w:r>
      <w:r w:rsidR="002B0DF2">
        <w:rPr>
          <w:rFonts w:ascii="Futura" w:eastAsia="Calibri" w:hAnsi="Futura" w:cs="Calibri"/>
          <w:b/>
          <w:bCs/>
          <w:color w:val="00AEDB"/>
          <w:sz w:val="24"/>
          <w:szCs w:val="24"/>
          <w:lang w:bidi="en-US"/>
        </w:rPr>
        <w:t>UMST-6</w:t>
      </w:r>
    </w:p>
    <w:p w14:paraId="26DF720B" w14:textId="3A97F0F8"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 xml:space="preserve">Version: </w:t>
      </w:r>
      <w:r w:rsidR="00E15732">
        <w:rPr>
          <w:rFonts w:ascii="Futura" w:eastAsia="Calibri" w:hAnsi="Futura" w:cs="Calibri"/>
          <w:b/>
          <w:bCs/>
          <w:color w:val="00AEDB"/>
          <w:sz w:val="24"/>
          <w:szCs w:val="24"/>
          <w:lang w:bidi="en-US"/>
        </w:rPr>
        <w:t>1</w:t>
      </w:r>
      <w:r w:rsidR="001A17A5">
        <w:rPr>
          <w:rFonts w:ascii="Futura" w:eastAsia="Calibri" w:hAnsi="Futura" w:cs="Calibri"/>
          <w:b/>
          <w:bCs/>
          <w:color w:val="00AEDB"/>
          <w:sz w:val="24"/>
          <w:szCs w:val="24"/>
          <w:lang w:bidi="en-US"/>
        </w:rPr>
        <w:t>.0</w:t>
      </w:r>
      <w:r w:rsidR="00C11B4C">
        <w:rPr>
          <w:rFonts w:ascii="Futura" w:eastAsia="Calibri" w:hAnsi="Futura" w:cs="Calibri"/>
          <w:b/>
          <w:bCs/>
          <w:color w:val="00AEDB"/>
          <w:sz w:val="24"/>
          <w:szCs w:val="24"/>
          <w:lang w:bidi="en-US"/>
        </w:rPr>
        <w:t xml:space="preserve"> </w:t>
      </w:r>
      <w:r w:rsidR="0033442B" w:rsidRPr="005226EB">
        <w:rPr>
          <w:rFonts w:ascii="Futura" w:eastAsia="Calibri" w:hAnsi="Futura" w:cs="Calibri"/>
          <w:b/>
          <w:bCs/>
          <w:color w:val="00AEDB"/>
          <w:sz w:val="24"/>
          <w:szCs w:val="24"/>
          <w:lang w:bidi="en-US"/>
        </w:rPr>
        <w:t xml:space="preserve"> </w:t>
      </w:r>
    </w:p>
    <w:p w14:paraId="6526E423" w14:textId="77777777" w:rsidR="00171CC3" w:rsidRDefault="00171CC3" w:rsidP="00171CC3">
      <w:pPr>
        <w:widowControl w:val="0"/>
        <w:autoSpaceDE w:val="0"/>
        <w:autoSpaceDN w:val="0"/>
        <w:spacing w:line="240" w:lineRule="auto"/>
        <w:rPr>
          <w:rFonts w:ascii="Futura" w:eastAsia="Calibri" w:hAnsi="Futura" w:cs="Calibri"/>
          <w:color w:val="4A9EFF"/>
          <w:sz w:val="24"/>
          <w:szCs w:val="24"/>
          <w:lang w:bidi="en-US"/>
        </w:rPr>
      </w:pPr>
    </w:p>
    <w:p w14:paraId="712B0DD6" w14:textId="77777777" w:rsidR="00320403" w:rsidRDefault="00171CC3" w:rsidP="00320403">
      <w:pPr>
        <w:widowControl w:val="0"/>
        <w:autoSpaceDE w:val="0"/>
        <w:autoSpaceDN w:val="0"/>
        <w:spacing w:line="240" w:lineRule="auto"/>
        <w:rPr>
          <w:rFonts w:ascii="Futura" w:hAnsi="Futura"/>
          <w:b/>
          <w:bCs/>
          <w:color w:val="00AEDB"/>
          <w:sz w:val="24"/>
          <w:szCs w:val="24"/>
        </w:rPr>
      </w:pPr>
      <w:r w:rsidRPr="00171CC3">
        <w:rPr>
          <w:rFonts w:ascii="Futura" w:eastAsia="Calibri" w:hAnsi="Futura" w:cs="Calibri"/>
          <w:noProof/>
          <w:sz w:val="24"/>
          <w:szCs w:val="24"/>
          <w:lang w:bidi="en-US"/>
        </w:rPr>
        <mc:AlternateContent>
          <mc:Choice Requires="wps">
            <w:drawing>
              <wp:anchor distT="0" distB="0" distL="114300" distR="114300" simplePos="0" relativeHeight="251661312" behindDoc="0" locked="0" layoutInCell="1" allowOverlap="1" wp14:anchorId="4435E043" wp14:editId="61E94E11">
                <wp:simplePos x="0" y="0"/>
                <wp:positionH relativeFrom="margin">
                  <wp:align>left</wp:align>
                </wp:positionH>
                <wp:positionV relativeFrom="paragraph">
                  <wp:posOffset>8255</wp:posOffset>
                </wp:positionV>
                <wp:extent cx="591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D710F7" id="Straight Connector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" strokecolor="#64ce3a" strokeweight="1.5pt">
                <v:stroke joinstyle="miter"/>
                <w10:wrap anchorx="margin"/>
              </v:line>
            </w:pict>
          </mc:Fallback>
        </mc:AlternateContent>
      </w:r>
    </w:p>
    <w:tbl>
      <w:tblPr>
        <w:tblStyle w:val="GridTable1Light"/>
        <w:tblW w:w="0" w:type="auto"/>
        <w:tblLook w:val="04A0" w:firstRow="1" w:lastRow="0" w:firstColumn="1" w:lastColumn="0" w:noHBand="0" w:noVBand="1"/>
      </w:tblPr>
      <w:tblGrid>
        <w:gridCol w:w="1615"/>
        <w:gridCol w:w="2880"/>
        <w:gridCol w:w="1890"/>
        <w:gridCol w:w="2945"/>
      </w:tblGrid>
      <w:tr w:rsidR="00320403" w14:paraId="0538398F" w14:textId="77777777" w:rsidTr="0032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BECC85" w14:textId="77777777" w:rsidR="00320403" w:rsidRPr="00E15732" w:rsidRDefault="00320403">
            <w:pPr>
              <w:widowControl w:val="0"/>
              <w:autoSpaceDE w:val="0"/>
              <w:autoSpaceDN w:val="0"/>
              <w:rPr>
                <w:rFonts w:ascii="Futura" w:eastAsia="Calibri" w:hAnsi="Futura" w:cs="Calibri"/>
                <w:color w:val="000000"/>
                <w:sz w:val="20"/>
                <w:szCs w:val="20"/>
                <w:lang w:bidi="en-US"/>
              </w:rPr>
            </w:pPr>
            <w:r w:rsidRPr="00E15732">
              <w:rPr>
                <w:rFonts w:ascii="Futura" w:eastAsia="Calibri" w:hAnsi="Futura" w:cs="Calibri"/>
                <w:color w:val="000000"/>
                <w:sz w:val="20"/>
                <w:szCs w:val="20"/>
                <w:lang w:bidi="en-US"/>
              </w:rPr>
              <w:t>Binder:</w:t>
            </w:r>
          </w:p>
        </w:tc>
        <w:tc>
          <w:tcPr>
            <w:tcW w:w="2880" w:type="dxa"/>
            <w:tcBorders>
              <w:top w:val="single" w:sz="4" w:space="0" w:color="999999" w:themeColor="text1" w:themeTint="66"/>
              <w:left w:val="single" w:sz="4" w:space="0" w:color="999999" w:themeColor="text1" w:themeTint="66"/>
              <w:right w:val="single" w:sz="4" w:space="0" w:color="999999" w:themeColor="text1" w:themeTint="66"/>
            </w:tcBorders>
          </w:tcPr>
          <w:p w14:paraId="522CD696" w14:textId="6CBB2014" w:rsidR="00320403" w:rsidRDefault="002B0DF2" w:rsidP="00CD77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UM</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311E06" w14:textId="77777777" w:rsidR="00320403" w:rsidRDefault="0032040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Department:</w:t>
            </w:r>
          </w:p>
        </w:tc>
        <w:tc>
          <w:tcPr>
            <w:tcW w:w="29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0598461" w14:textId="7076B979" w:rsidR="00320403" w:rsidRDefault="00D001BF">
            <w:pPr>
              <w:spacing w:line="276" w:lineRule="auto"/>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Medical Management-UM</w:t>
            </w:r>
          </w:p>
        </w:tc>
      </w:tr>
      <w:tr w:rsidR="00320403" w14:paraId="5988EF9A"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4DEE4"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Policy Contact:</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7C508" w14:textId="42AAD5DC" w:rsidR="00320403" w:rsidRDefault="002B0DF2">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VP Pharmacy</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7C54"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Effective Date:</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7473BD" w14:textId="244964F3" w:rsidR="00320403" w:rsidRDefault="00915B2D">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1</w:t>
            </w:r>
            <w:r w:rsidR="00D001BF">
              <w:rPr>
                <w:rFonts w:ascii="Futura" w:eastAsia="Calibri" w:hAnsi="Futura" w:cs="Calibri"/>
                <w:color w:val="000000"/>
                <w:sz w:val="20"/>
                <w:szCs w:val="20"/>
                <w:lang w:bidi="en-US"/>
              </w:rPr>
              <w:t>/1/2</w:t>
            </w:r>
            <w:r>
              <w:rPr>
                <w:rFonts w:ascii="Futura" w:eastAsia="Calibri" w:hAnsi="Futura" w:cs="Calibri"/>
                <w:color w:val="000000"/>
                <w:sz w:val="20"/>
                <w:szCs w:val="20"/>
                <w:lang w:bidi="en-US"/>
              </w:rPr>
              <w:t>6</w:t>
            </w:r>
          </w:p>
        </w:tc>
      </w:tr>
      <w:tr w:rsidR="00320403" w14:paraId="0E783544"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CCDE5"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Date Last Reviewed:</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3BA10" w14:textId="4EAF7391" w:rsidR="00320403" w:rsidRDefault="00320403">
            <w:pPr>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5B2A2"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Date of Policy Committee Approval:</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2BAE2" w14:textId="0C145934" w:rsidR="00320403" w:rsidRPr="001A17A5" w:rsidRDefault="00320403" w:rsidP="001A17A5">
            <w:pPr>
              <w:spacing w:line="480"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r>
    </w:tbl>
    <w:p w14:paraId="34A017EB" w14:textId="77777777" w:rsidR="00320403" w:rsidRDefault="00320403" w:rsidP="00320403">
      <w:pPr>
        <w:widowControl w:val="0"/>
        <w:autoSpaceDE w:val="0"/>
        <w:autoSpaceDN w:val="0"/>
        <w:spacing w:line="240" w:lineRule="auto"/>
        <w:rPr>
          <w:rFonts w:ascii="Futura" w:eastAsia="Calibri" w:hAnsi="Futura" w:cs="Calibri"/>
          <w:b/>
          <w:bCs/>
          <w:color w:val="4A9EFF"/>
          <w:sz w:val="24"/>
          <w:szCs w:val="24"/>
          <w:lang w:bidi="en-US"/>
        </w:rPr>
      </w:pPr>
    </w:p>
    <w:tbl>
      <w:tblPr>
        <w:tblStyle w:val="TableGrid1"/>
        <w:tblW w:w="9345"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1546"/>
        <w:gridCol w:w="2510"/>
        <w:gridCol w:w="1880"/>
        <w:gridCol w:w="3409"/>
      </w:tblGrid>
      <w:tr w:rsidR="00320403" w14:paraId="47A77D58" w14:textId="77777777" w:rsidTr="00320403">
        <w:tc>
          <w:tcPr>
            <w:tcW w:w="9345" w:type="dxa"/>
            <w:gridSpan w:val="4"/>
            <w:tcBorders>
              <w:top w:val="single" w:sz="12" w:space="0" w:color="A5A5A5"/>
              <w:left w:val="single" w:sz="12" w:space="0" w:color="A5A5A5"/>
              <w:bottom w:val="single" w:sz="12" w:space="0" w:color="A5A5A5"/>
              <w:right w:val="single" w:sz="12" w:space="0" w:color="A5A5A5"/>
            </w:tcBorders>
            <w:hideMark/>
          </w:tcPr>
          <w:p w14:paraId="7CC25E45" w14:textId="77777777" w:rsidR="00320403" w:rsidRDefault="00320403">
            <w:pPr>
              <w:widowControl w:val="0"/>
              <w:autoSpaceDE w:val="0"/>
              <w:autoSpaceDN w:val="0"/>
              <w:jc w:val="center"/>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Revision/Approval History</w:t>
            </w:r>
          </w:p>
        </w:tc>
      </w:tr>
      <w:tr w:rsidR="00320403" w14:paraId="02459072" w14:textId="77777777" w:rsidTr="00320403">
        <w:tc>
          <w:tcPr>
            <w:tcW w:w="1546" w:type="dxa"/>
            <w:tcBorders>
              <w:top w:val="single" w:sz="12" w:space="0" w:color="A5A5A5"/>
              <w:left w:val="single" w:sz="12" w:space="0" w:color="A5A5A5"/>
              <w:bottom w:val="single" w:sz="12" w:space="0" w:color="A5A5A5"/>
              <w:right w:val="single" w:sz="12" w:space="0" w:color="A5A5A5"/>
            </w:tcBorders>
            <w:hideMark/>
          </w:tcPr>
          <w:p w14:paraId="7F80719B"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Date</w:t>
            </w:r>
          </w:p>
        </w:tc>
        <w:tc>
          <w:tcPr>
            <w:tcW w:w="2510" w:type="dxa"/>
            <w:tcBorders>
              <w:top w:val="single" w:sz="12" w:space="0" w:color="A5A5A5"/>
              <w:left w:val="single" w:sz="12" w:space="0" w:color="A5A5A5"/>
              <w:bottom w:val="single" w:sz="12" w:space="0" w:color="A5A5A5"/>
              <w:right w:val="single" w:sz="12" w:space="0" w:color="A5A5A5"/>
            </w:tcBorders>
            <w:hideMark/>
          </w:tcPr>
          <w:p w14:paraId="7D9342F0"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Name</w:t>
            </w:r>
          </w:p>
        </w:tc>
        <w:tc>
          <w:tcPr>
            <w:tcW w:w="1880" w:type="dxa"/>
            <w:tcBorders>
              <w:top w:val="single" w:sz="12" w:space="0" w:color="A5A5A5"/>
              <w:left w:val="single" w:sz="12" w:space="0" w:color="A5A5A5"/>
              <w:bottom w:val="single" w:sz="12" w:space="0" w:color="A5A5A5"/>
              <w:right w:val="single" w:sz="12" w:space="0" w:color="A5A5A5"/>
            </w:tcBorders>
            <w:hideMark/>
          </w:tcPr>
          <w:p w14:paraId="157BE64E"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Title</w:t>
            </w:r>
          </w:p>
        </w:tc>
        <w:tc>
          <w:tcPr>
            <w:tcW w:w="3409" w:type="dxa"/>
            <w:tcBorders>
              <w:top w:val="single" w:sz="12" w:space="0" w:color="A5A5A5"/>
              <w:left w:val="single" w:sz="12" w:space="0" w:color="A5A5A5"/>
              <w:bottom w:val="single" w:sz="12" w:space="0" w:color="A5A5A5"/>
              <w:right w:val="single" w:sz="12" w:space="0" w:color="A5A5A5"/>
            </w:tcBorders>
            <w:hideMark/>
          </w:tcPr>
          <w:p w14:paraId="4D3EEE37"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Description</w:t>
            </w:r>
          </w:p>
        </w:tc>
      </w:tr>
      <w:tr w:rsidR="00320403" w14:paraId="67145A5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1C31E6F" w14:textId="260CFD0C" w:rsidR="00320403" w:rsidRDefault="002B0D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75736AEE" w14:textId="40E4F33F" w:rsidR="00320403" w:rsidRDefault="00E768B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Policy &amp; Procedure Committee </w:t>
            </w:r>
          </w:p>
        </w:tc>
        <w:tc>
          <w:tcPr>
            <w:tcW w:w="1880" w:type="dxa"/>
            <w:tcBorders>
              <w:top w:val="single" w:sz="12" w:space="0" w:color="A5A5A5"/>
              <w:left w:val="single" w:sz="12" w:space="0" w:color="A5A5A5"/>
              <w:bottom w:val="single" w:sz="12" w:space="0" w:color="A5A5A5"/>
              <w:right w:val="single" w:sz="12" w:space="0" w:color="A5A5A5"/>
            </w:tcBorders>
          </w:tcPr>
          <w:p w14:paraId="67DA1ECD" w14:textId="71D6A6AC" w:rsidR="00320403" w:rsidRDefault="002B0D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35DC7F81" w14:textId="45489438" w:rsidR="00320403" w:rsidRDefault="00CB5E28">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New policy. </w:t>
            </w:r>
          </w:p>
        </w:tc>
      </w:tr>
      <w:tr w:rsidR="00320403" w14:paraId="7973D708"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2D9C931" w14:textId="3A4A68B2" w:rsidR="00320403" w:rsidRDefault="002B0D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480828A1" w14:textId="29B677EF" w:rsidR="00320403" w:rsidRDefault="002B0D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C0B7B6E" w14:textId="22103026" w:rsidR="00320403" w:rsidRDefault="002B0D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5F8B2E15" w14:textId="67D29B97" w:rsidR="00320403" w:rsidRDefault="002B0DF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New policy</w:t>
            </w:r>
          </w:p>
        </w:tc>
      </w:tr>
      <w:tr w:rsidR="00915B2D" w14:paraId="40FCFAEF"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FF04D57" w14:textId="6308D9EC" w:rsidR="00915B2D" w:rsidRDefault="00915B2D">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8/4/25</w:t>
            </w:r>
          </w:p>
        </w:tc>
        <w:tc>
          <w:tcPr>
            <w:tcW w:w="2510" w:type="dxa"/>
            <w:tcBorders>
              <w:top w:val="single" w:sz="12" w:space="0" w:color="A5A5A5"/>
              <w:left w:val="single" w:sz="12" w:space="0" w:color="A5A5A5"/>
              <w:bottom w:val="single" w:sz="12" w:space="0" w:color="A5A5A5"/>
              <w:right w:val="single" w:sz="12" w:space="0" w:color="A5A5A5"/>
            </w:tcBorders>
          </w:tcPr>
          <w:p w14:paraId="60D3B960" w14:textId="6FADC67C" w:rsidR="00915B2D" w:rsidRDefault="00915B2D">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357B8F9D" w14:textId="73B6F93B" w:rsidR="00915B2D" w:rsidRDefault="00915B2D">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Review</w:t>
            </w:r>
          </w:p>
        </w:tc>
        <w:tc>
          <w:tcPr>
            <w:tcW w:w="3409" w:type="dxa"/>
            <w:tcBorders>
              <w:top w:val="single" w:sz="12" w:space="0" w:color="A5A5A5"/>
              <w:left w:val="single" w:sz="12" w:space="0" w:color="A5A5A5"/>
              <w:bottom w:val="single" w:sz="12" w:space="0" w:color="A5A5A5"/>
              <w:right w:val="single" w:sz="12" w:space="0" w:color="A5A5A5"/>
            </w:tcBorders>
          </w:tcPr>
          <w:p w14:paraId="6041378D" w14:textId="77777777" w:rsidR="00915B2D" w:rsidRDefault="00915B2D">
            <w:pPr>
              <w:widowControl w:val="0"/>
              <w:autoSpaceDE w:val="0"/>
              <w:autoSpaceDN w:val="0"/>
              <w:rPr>
                <w:rFonts w:ascii="Futura" w:eastAsia="Calibri" w:hAnsi="Futura" w:cs="Calibri"/>
                <w:color w:val="000000"/>
                <w:sz w:val="20"/>
                <w:szCs w:val="20"/>
                <w:lang w:bidi="en-US"/>
              </w:rPr>
            </w:pPr>
          </w:p>
        </w:tc>
      </w:tr>
    </w:tbl>
    <w:p w14:paraId="67C7852D" w14:textId="77777777" w:rsidR="00320403" w:rsidRDefault="00320403" w:rsidP="00320403">
      <w:pPr>
        <w:spacing w:after="0" w:line="240" w:lineRule="auto"/>
        <w:jc w:val="center"/>
        <w:rPr>
          <w:rFonts w:ascii="Futura" w:hAnsi="Futura"/>
          <w:color w:val="00AEDB"/>
          <w:sz w:val="24"/>
          <w:szCs w:val="24"/>
        </w:rPr>
      </w:pPr>
    </w:p>
    <w:p w14:paraId="6C4CF2DA" w14:textId="7777777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Policy:</w:t>
      </w:r>
    </w:p>
    <w:p w14:paraId="2ECE6697" w14:textId="164DFCC8" w:rsidR="00B60BDE" w:rsidRDefault="00B60BDE" w:rsidP="00554794">
      <w:pPr>
        <w:spacing w:after="0" w:line="240" w:lineRule="auto"/>
        <w:jc w:val="both"/>
        <w:rPr>
          <w:rFonts w:ascii="Futura" w:eastAsia="Calibri" w:hAnsi="Futura" w:cs="Calibri"/>
          <w:color w:val="000000"/>
          <w:sz w:val="20"/>
          <w:szCs w:val="20"/>
          <w:lang w:bidi="en-US"/>
        </w:rPr>
      </w:pPr>
    </w:p>
    <w:p w14:paraId="0B1BB187" w14:textId="7732B144" w:rsidR="00B55BB0" w:rsidRDefault="004F5EE3" w:rsidP="00B55BB0">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This policy stands to show the criteria for and preferencing of</w:t>
      </w:r>
      <w:r w:rsidR="00827A7B">
        <w:rPr>
          <w:rFonts w:ascii="Futura" w:eastAsia="Calibri" w:hAnsi="Futura" w:cs="Calibri"/>
          <w:color w:val="000000"/>
          <w:sz w:val="20"/>
          <w:szCs w:val="20"/>
          <w:lang w:bidi="en-US"/>
        </w:rPr>
        <w:t xml:space="preserve"> agents within the </w:t>
      </w:r>
      <w:r w:rsidR="00AD64AA">
        <w:rPr>
          <w:rFonts w:ascii="Futura" w:eastAsia="Calibri" w:hAnsi="Futura" w:cs="Calibri"/>
          <w:color w:val="000000"/>
          <w:sz w:val="20"/>
          <w:szCs w:val="20"/>
          <w:lang w:bidi="en-US"/>
        </w:rPr>
        <w:t xml:space="preserve">group of medications </w:t>
      </w:r>
      <w:r w:rsidR="00361DE8">
        <w:rPr>
          <w:rFonts w:ascii="Futura" w:eastAsia="Calibri" w:hAnsi="Futura" w:cs="Calibri"/>
          <w:color w:val="000000"/>
          <w:sz w:val="20"/>
          <w:szCs w:val="20"/>
          <w:lang w:bidi="en-US"/>
        </w:rPr>
        <w:t xml:space="preserve">inhaled and injected for Asthma.  There are multiple therapeutic classes so this will remain a disease-based policy.  </w:t>
      </w:r>
      <w:r w:rsidR="00827A7B">
        <w:rPr>
          <w:rFonts w:ascii="Futura" w:eastAsia="Calibri" w:hAnsi="Futura" w:cs="Calibri"/>
          <w:color w:val="000000"/>
          <w:sz w:val="20"/>
          <w:szCs w:val="20"/>
          <w:lang w:bidi="en-US"/>
        </w:rPr>
        <w:t xml:space="preserve">At the time of creation of this policy, there are </w:t>
      </w:r>
      <w:r w:rsidR="00AD64AA">
        <w:rPr>
          <w:rFonts w:ascii="Futura" w:eastAsia="Calibri" w:hAnsi="Futura" w:cs="Calibri"/>
          <w:color w:val="000000"/>
          <w:sz w:val="20"/>
          <w:szCs w:val="20"/>
          <w:lang w:bidi="en-US"/>
        </w:rPr>
        <w:t>f</w:t>
      </w:r>
      <w:r w:rsidR="00151F12">
        <w:rPr>
          <w:rFonts w:ascii="Futura" w:eastAsia="Calibri" w:hAnsi="Futura" w:cs="Calibri"/>
          <w:color w:val="000000"/>
          <w:sz w:val="20"/>
          <w:szCs w:val="20"/>
          <w:lang w:bidi="en-US"/>
        </w:rPr>
        <w:t>i</w:t>
      </w:r>
      <w:r w:rsidR="00AD64AA">
        <w:rPr>
          <w:rFonts w:ascii="Futura" w:eastAsia="Calibri" w:hAnsi="Futura" w:cs="Calibri"/>
          <w:color w:val="000000"/>
          <w:sz w:val="20"/>
          <w:szCs w:val="20"/>
          <w:lang w:bidi="en-US"/>
        </w:rPr>
        <w:t>v</w:t>
      </w:r>
      <w:r w:rsidR="00151F12">
        <w:rPr>
          <w:rFonts w:ascii="Futura" w:eastAsia="Calibri" w:hAnsi="Futura" w:cs="Calibri"/>
          <w:color w:val="000000"/>
          <w:sz w:val="20"/>
          <w:szCs w:val="20"/>
          <w:lang w:bidi="en-US"/>
        </w:rPr>
        <w:t>e</w:t>
      </w:r>
      <w:r w:rsidR="004B7D63">
        <w:rPr>
          <w:rFonts w:ascii="Futura" w:eastAsia="Calibri" w:hAnsi="Futura" w:cs="Calibri"/>
          <w:color w:val="000000"/>
          <w:sz w:val="20"/>
          <w:szCs w:val="20"/>
          <w:lang w:bidi="en-US"/>
        </w:rPr>
        <w:t xml:space="preserve"> agents to be reviewed: </w:t>
      </w:r>
      <w:r w:rsidR="007E7735">
        <w:rPr>
          <w:rFonts w:ascii="Futura" w:eastAsia="Calibri" w:hAnsi="Futura" w:cs="Calibri"/>
          <w:color w:val="000000"/>
          <w:sz w:val="20"/>
          <w:szCs w:val="20"/>
          <w:lang w:bidi="en-US"/>
        </w:rPr>
        <w:t>Fasenra (</w:t>
      </w:r>
      <w:r w:rsidR="003345C3">
        <w:rPr>
          <w:rFonts w:ascii="Futura" w:eastAsia="Calibri" w:hAnsi="Futura" w:cs="Calibri"/>
          <w:color w:val="000000"/>
          <w:sz w:val="20"/>
          <w:szCs w:val="20"/>
          <w:lang w:bidi="en-US"/>
        </w:rPr>
        <w:t>benralizumab</w:t>
      </w:r>
      <w:r w:rsidR="007E7735">
        <w:rPr>
          <w:rFonts w:ascii="Futura" w:eastAsia="Calibri" w:hAnsi="Futura" w:cs="Calibri"/>
          <w:color w:val="000000"/>
          <w:sz w:val="20"/>
          <w:szCs w:val="20"/>
          <w:lang w:bidi="en-US"/>
        </w:rPr>
        <w:t>)-J0517, Cinqair</w:t>
      </w:r>
      <w:r w:rsidR="00765E2C">
        <w:rPr>
          <w:rFonts w:ascii="Futura" w:eastAsia="Calibri" w:hAnsi="Futura" w:cs="Calibri"/>
          <w:color w:val="000000"/>
          <w:sz w:val="20"/>
          <w:szCs w:val="20"/>
          <w:lang w:bidi="en-US"/>
        </w:rPr>
        <w:t xml:space="preserve"> (</w:t>
      </w:r>
      <w:r w:rsidR="00006C6B">
        <w:rPr>
          <w:rFonts w:ascii="Futura" w:eastAsia="Calibri" w:hAnsi="Futura" w:cs="Calibri"/>
          <w:color w:val="000000"/>
          <w:sz w:val="20"/>
          <w:szCs w:val="20"/>
          <w:lang w:bidi="en-US"/>
        </w:rPr>
        <w:t>resli</w:t>
      </w:r>
      <w:r w:rsidR="003345C3">
        <w:rPr>
          <w:rFonts w:ascii="Futura" w:eastAsia="Calibri" w:hAnsi="Futura" w:cs="Calibri"/>
          <w:color w:val="000000"/>
          <w:sz w:val="20"/>
          <w:szCs w:val="20"/>
          <w:lang w:bidi="en-US"/>
        </w:rPr>
        <w:t>zumab</w:t>
      </w:r>
      <w:r w:rsidR="00765E2C">
        <w:rPr>
          <w:rFonts w:ascii="Futura" w:eastAsia="Calibri" w:hAnsi="Futura" w:cs="Calibri"/>
          <w:color w:val="000000"/>
          <w:sz w:val="20"/>
          <w:szCs w:val="20"/>
          <w:lang w:bidi="en-US"/>
        </w:rPr>
        <w:t>)-J2786, Nucala (</w:t>
      </w:r>
      <w:r w:rsidR="003345C3">
        <w:rPr>
          <w:rFonts w:ascii="Futura" w:eastAsia="Calibri" w:hAnsi="Futura" w:cs="Calibri"/>
          <w:color w:val="000000"/>
          <w:sz w:val="20"/>
          <w:szCs w:val="20"/>
          <w:lang w:bidi="en-US"/>
        </w:rPr>
        <w:t>mepolizumab</w:t>
      </w:r>
      <w:r w:rsidR="00765E2C">
        <w:rPr>
          <w:rFonts w:ascii="Futura" w:eastAsia="Calibri" w:hAnsi="Futura" w:cs="Calibri"/>
          <w:color w:val="000000"/>
          <w:sz w:val="20"/>
          <w:szCs w:val="20"/>
          <w:lang w:bidi="en-US"/>
        </w:rPr>
        <w:t>)-J2182, Tezspire (</w:t>
      </w:r>
      <w:r w:rsidR="00E52819">
        <w:rPr>
          <w:rFonts w:ascii="Futura" w:eastAsia="Calibri" w:hAnsi="Futura" w:cs="Calibri"/>
          <w:color w:val="000000"/>
          <w:sz w:val="20"/>
          <w:szCs w:val="20"/>
          <w:lang w:bidi="en-US"/>
        </w:rPr>
        <w:t>tezepelumab-ekko</w:t>
      </w:r>
      <w:r w:rsidR="00765E2C">
        <w:rPr>
          <w:rFonts w:ascii="Futura" w:eastAsia="Calibri" w:hAnsi="Futura" w:cs="Calibri"/>
          <w:color w:val="000000"/>
          <w:sz w:val="20"/>
          <w:szCs w:val="20"/>
          <w:lang w:bidi="en-US"/>
        </w:rPr>
        <w:t>)-J2356, Xolair (</w:t>
      </w:r>
      <w:r w:rsidR="00E52819">
        <w:rPr>
          <w:rFonts w:ascii="Futura" w:eastAsia="Calibri" w:hAnsi="Futura" w:cs="Calibri"/>
          <w:color w:val="000000"/>
          <w:sz w:val="20"/>
          <w:szCs w:val="20"/>
          <w:lang w:bidi="en-US"/>
        </w:rPr>
        <w:t>omalizumab</w:t>
      </w:r>
      <w:r w:rsidR="00765E2C">
        <w:rPr>
          <w:rFonts w:ascii="Futura" w:eastAsia="Calibri" w:hAnsi="Futura" w:cs="Calibri"/>
          <w:color w:val="000000"/>
          <w:sz w:val="20"/>
          <w:szCs w:val="20"/>
          <w:lang w:bidi="en-US"/>
        </w:rPr>
        <w:t>)-J2357</w:t>
      </w:r>
      <w:r w:rsidR="004807F3">
        <w:rPr>
          <w:rFonts w:ascii="Futura" w:eastAsia="Calibri" w:hAnsi="Futura" w:cs="Calibri"/>
          <w:color w:val="000000"/>
          <w:sz w:val="20"/>
          <w:szCs w:val="20"/>
          <w:lang w:bidi="en-US"/>
        </w:rPr>
        <w:t xml:space="preserve">.  The </w:t>
      </w:r>
      <w:r w:rsidR="00C71E74">
        <w:rPr>
          <w:rFonts w:ascii="Futura" w:eastAsia="Calibri" w:hAnsi="Futura" w:cs="Calibri"/>
          <w:color w:val="000000"/>
          <w:sz w:val="20"/>
          <w:szCs w:val="20"/>
          <w:lang w:bidi="en-US"/>
        </w:rPr>
        <w:t xml:space="preserve">review includes review of product package inserts for </w:t>
      </w:r>
      <w:r w:rsidR="00222323">
        <w:rPr>
          <w:rFonts w:ascii="Futura" w:eastAsia="Calibri" w:hAnsi="Futura" w:cs="Calibri"/>
          <w:color w:val="000000"/>
          <w:sz w:val="20"/>
          <w:szCs w:val="20"/>
          <w:lang w:bidi="en-US"/>
        </w:rPr>
        <w:t xml:space="preserve">FDA approved </w:t>
      </w:r>
      <w:r w:rsidR="00C71E74">
        <w:rPr>
          <w:rFonts w:ascii="Futura" w:eastAsia="Calibri" w:hAnsi="Futura" w:cs="Calibri"/>
          <w:color w:val="000000"/>
          <w:sz w:val="20"/>
          <w:szCs w:val="20"/>
          <w:lang w:bidi="en-US"/>
        </w:rPr>
        <w:t xml:space="preserve">indications and limitations, ASP pricing files updated quarterly, </w:t>
      </w:r>
      <w:r w:rsidR="00BB3294">
        <w:rPr>
          <w:rFonts w:ascii="Futura" w:eastAsia="Calibri" w:hAnsi="Futura" w:cs="Calibri"/>
          <w:color w:val="000000"/>
          <w:sz w:val="20"/>
          <w:szCs w:val="20"/>
          <w:lang w:bidi="en-US"/>
        </w:rPr>
        <w:t>any external evidence available through CMS approved compendia, NCD/LCD information</w:t>
      </w:r>
      <w:r w:rsidR="0029343B">
        <w:rPr>
          <w:rFonts w:ascii="Futura" w:eastAsia="Calibri" w:hAnsi="Futura" w:cs="Calibri"/>
          <w:color w:val="000000"/>
          <w:sz w:val="20"/>
          <w:szCs w:val="20"/>
          <w:lang w:bidi="en-US"/>
        </w:rPr>
        <w:t>, and the approved system used for clinical direction of the Utilization Management team</w:t>
      </w:r>
      <w:r w:rsidR="00006F2B">
        <w:rPr>
          <w:rFonts w:ascii="Futura" w:eastAsia="Calibri" w:hAnsi="Futura" w:cs="Calibri"/>
          <w:color w:val="000000"/>
          <w:sz w:val="20"/>
          <w:szCs w:val="20"/>
          <w:lang w:bidi="en-US"/>
        </w:rPr>
        <w:t xml:space="preserve"> for agents on the eternalHealth Medicare Part B Prior Auth list</w:t>
      </w:r>
      <w:r w:rsidR="00BB3294">
        <w:rPr>
          <w:rFonts w:ascii="Futura" w:eastAsia="Calibri" w:hAnsi="Futura" w:cs="Calibri"/>
          <w:color w:val="000000"/>
          <w:sz w:val="20"/>
          <w:szCs w:val="20"/>
          <w:lang w:bidi="en-US"/>
        </w:rPr>
        <w:t>.  T</w:t>
      </w:r>
      <w:r w:rsidR="00A85AC1">
        <w:rPr>
          <w:rFonts w:ascii="Futura" w:eastAsia="Calibri" w:hAnsi="Futura" w:cs="Calibri"/>
          <w:color w:val="000000"/>
          <w:sz w:val="20"/>
          <w:szCs w:val="20"/>
          <w:lang w:bidi="en-US"/>
        </w:rPr>
        <w:t>his information combined with a wholistic review of the members’ clinical profile will allow the eternalHealth team to arrive at a decision of clinical appropriateness and is not a guarantee of payment.</w:t>
      </w:r>
      <w:r w:rsidR="00B55BB0">
        <w:rPr>
          <w:rFonts w:ascii="Futura" w:eastAsia="Calibri" w:hAnsi="Futura" w:cs="Calibri"/>
          <w:color w:val="000000"/>
          <w:sz w:val="20"/>
          <w:szCs w:val="20"/>
          <w:lang w:bidi="en-US"/>
        </w:rPr>
        <w:t xml:space="preserve">  This policy crosses benefits, and portions attributed to the part D benefit will be handled by the PBM (at this time OptumRx) while those under part B will be handled by our TPA, nirvanaHealth.</w:t>
      </w:r>
    </w:p>
    <w:p w14:paraId="7962C7E4" w14:textId="77777777" w:rsidR="00581FB0" w:rsidRDefault="00581FB0" w:rsidP="00554794">
      <w:pPr>
        <w:spacing w:after="0" w:line="240" w:lineRule="auto"/>
        <w:jc w:val="both"/>
        <w:rPr>
          <w:rFonts w:ascii="Futura" w:eastAsia="Calibri" w:hAnsi="Futura" w:cs="Calibri"/>
          <w:color w:val="000000"/>
          <w:sz w:val="20"/>
          <w:szCs w:val="20"/>
          <w:lang w:bidi="en-US"/>
        </w:rPr>
      </w:pPr>
    </w:p>
    <w:p w14:paraId="284431BB" w14:textId="77777777" w:rsidR="00F325A6" w:rsidRDefault="00F325A6" w:rsidP="00554794">
      <w:pPr>
        <w:spacing w:after="0" w:line="240" w:lineRule="auto"/>
        <w:jc w:val="both"/>
        <w:rPr>
          <w:rFonts w:ascii="Futura" w:eastAsia="Calibri" w:hAnsi="Futura" w:cs="Calibri"/>
          <w:color w:val="000000"/>
          <w:sz w:val="20"/>
          <w:szCs w:val="20"/>
          <w:lang w:bidi="en-US"/>
        </w:rPr>
      </w:pPr>
    </w:p>
    <w:p w14:paraId="0DC3E5E4" w14:textId="77777777" w:rsidR="00F325A6" w:rsidRDefault="00F325A6" w:rsidP="00554794">
      <w:pPr>
        <w:spacing w:after="0" w:line="240" w:lineRule="auto"/>
        <w:jc w:val="both"/>
        <w:rPr>
          <w:rFonts w:ascii="Futura" w:eastAsia="Calibri" w:hAnsi="Futura" w:cs="Calibri"/>
          <w:color w:val="000000"/>
          <w:sz w:val="20"/>
          <w:szCs w:val="20"/>
          <w:lang w:bidi="en-US"/>
        </w:rPr>
      </w:pPr>
    </w:p>
    <w:p w14:paraId="3B0F8835" w14:textId="77777777" w:rsidR="00F325A6" w:rsidRDefault="00F325A6" w:rsidP="00554794">
      <w:pPr>
        <w:spacing w:after="0" w:line="240" w:lineRule="auto"/>
        <w:jc w:val="both"/>
        <w:rPr>
          <w:rFonts w:ascii="Futura" w:eastAsia="Calibri" w:hAnsi="Futura" w:cs="Calibri"/>
          <w:color w:val="000000"/>
          <w:sz w:val="20"/>
          <w:szCs w:val="20"/>
          <w:lang w:bidi="en-US"/>
        </w:rPr>
      </w:pPr>
    </w:p>
    <w:p w14:paraId="52A27C32" w14:textId="77777777" w:rsidR="00F325A6" w:rsidRDefault="00F325A6" w:rsidP="00554794">
      <w:pPr>
        <w:spacing w:after="0" w:line="240" w:lineRule="auto"/>
        <w:jc w:val="both"/>
        <w:rPr>
          <w:rFonts w:ascii="Futura" w:eastAsia="Calibri" w:hAnsi="Futura" w:cs="Calibri"/>
          <w:color w:val="000000"/>
          <w:sz w:val="20"/>
          <w:szCs w:val="20"/>
          <w:lang w:bidi="en-US"/>
        </w:rPr>
      </w:pPr>
    </w:p>
    <w:p w14:paraId="54C247F4" w14:textId="77777777" w:rsidR="00F325A6" w:rsidRDefault="00F325A6" w:rsidP="00554794">
      <w:pPr>
        <w:spacing w:after="0" w:line="240" w:lineRule="auto"/>
        <w:jc w:val="both"/>
        <w:rPr>
          <w:rFonts w:ascii="Futura" w:eastAsia="Calibri" w:hAnsi="Futura" w:cs="Calibri"/>
          <w:color w:val="000000"/>
          <w:sz w:val="20"/>
          <w:szCs w:val="20"/>
          <w:lang w:bidi="en-US"/>
        </w:rPr>
      </w:pPr>
    </w:p>
    <w:p w14:paraId="45DD6031" w14:textId="77777777" w:rsidR="00F325A6" w:rsidRDefault="00F325A6" w:rsidP="00554794">
      <w:pPr>
        <w:spacing w:after="0" w:line="240" w:lineRule="auto"/>
        <w:jc w:val="both"/>
        <w:rPr>
          <w:rFonts w:ascii="Futura" w:eastAsia="Calibri" w:hAnsi="Futura" w:cs="Calibri"/>
          <w:color w:val="000000"/>
          <w:sz w:val="20"/>
          <w:szCs w:val="20"/>
          <w:lang w:bidi="en-US"/>
        </w:rPr>
      </w:pPr>
    </w:p>
    <w:p w14:paraId="6C0B076F" w14:textId="77777777" w:rsidR="00F325A6" w:rsidRDefault="00F325A6" w:rsidP="00F325A6">
      <w:pPr>
        <w:spacing w:after="0" w:line="240" w:lineRule="auto"/>
        <w:jc w:val="both"/>
        <w:rPr>
          <w:rFonts w:ascii="Futura" w:hAnsi="Futura"/>
          <w:b/>
          <w:bCs/>
          <w:color w:val="00AEDB"/>
          <w:sz w:val="24"/>
          <w:szCs w:val="24"/>
        </w:rPr>
      </w:pPr>
      <w:r>
        <w:rPr>
          <w:rFonts w:ascii="Futura" w:hAnsi="Futura"/>
          <w:b/>
          <w:bCs/>
          <w:color w:val="00AEDB"/>
          <w:sz w:val="24"/>
          <w:szCs w:val="24"/>
        </w:rPr>
        <w:t>Summary:</w:t>
      </w:r>
    </w:p>
    <w:p w14:paraId="7E292608" w14:textId="77777777" w:rsidR="00F325A6" w:rsidRDefault="00F325A6" w:rsidP="00F325A6">
      <w:pPr>
        <w:spacing w:after="0" w:line="240" w:lineRule="auto"/>
        <w:jc w:val="both"/>
        <w:rPr>
          <w:rFonts w:ascii="Futura" w:hAnsi="Futura"/>
          <w:b/>
          <w:bCs/>
          <w:color w:val="00AEDB"/>
          <w:sz w:val="24"/>
          <w:szCs w:val="24"/>
        </w:rPr>
      </w:pPr>
    </w:p>
    <w:p w14:paraId="0BA4F2BA" w14:textId="77777777" w:rsidR="00F325A6" w:rsidRDefault="00F325A6" w:rsidP="00F325A6">
      <w:pPr>
        <w:pStyle w:val="ListParagraph"/>
        <w:numPr>
          <w:ilvl w:val="0"/>
          <w:numId w:val="47"/>
        </w:numPr>
        <w:spacing w:after="0" w:line="240" w:lineRule="auto"/>
        <w:jc w:val="both"/>
        <w:rPr>
          <w:rFonts w:ascii="Futura" w:hAnsi="Futura"/>
          <w:b/>
          <w:bCs/>
          <w:color w:val="00AEDB"/>
          <w:sz w:val="24"/>
          <w:szCs w:val="24"/>
        </w:rPr>
      </w:pPr>
      <w:r>
        <w:rPr>
          <w:rFonts w:ascii="Futura" w:hAnsi="Futura"/>
          <w:b/>
          <w:bCs/>
          <w:color w:val="00AEDB"/>
          <w:sz w:val="24"/>
          <w:szCs w:val="24"/>
        </w:rPr>
        <w:t>All agents injected in the office will require prior authorization review for medical necessity</w:t>
      </w:r>
    </w:p>
    <w:p w14:paraId="520079C0" w14:textId="252B6E70" w:rsidR="00F325A6" w:rsidRDefault="00F325A6" w:rsidP="00F325A6">
      <w:pPr>
        <w:pStyle w:val="ListParagraph"/>
        <w:numPr>
          <w:ilvl w:val="0"/>
          <w:numId w:val="47"/>
        </w:numPr>
        <w:spacing w:after="0" w:line="240" w:lineRule="auto"/>
        <w:jc w:val="both"/>
        <w:rPr>
          <w:rFonts w:ascii="Futura" w:hAnsi="Futura"/>
          <w:b/>
          <w:bCs/>
          <w:color w:val="00AEDB"/>
          <w:sz w:val="24"/>
          <w:szCs w:val="24"/>
        </w:rPr>
      </w:pPr>
      <w:r>
        <w:rPr>
          <w:rFonts w:ascii="Futura" w:hAnsi="Futura"/>
          <w:b/>
          <w:bCs/>
          <w:color w:val="00AEDB"/>
          <w:sz w:val="24"/>
          <w:szCs w:val="24"/>
        </w:rPr>
        <w:t xml:space="preserve">Medical record must indicate maximized use of part D formulary agents found here: </w:t>
      </w:r>
      <w:hyperlink r:id="rId9" w:history="1">
        <w:r w:rsidRPr="009A00EB">
          <w:rPr>
            <w:rStyle w:val="Hyperlink"/>
            <w:rFonts w:ascii="Futura" w:hAnsi="Futura"/>
            <w:b/>
            <w:bCs/>
            <w:sz w:val="24"/>
            <w:szCs w:val="24"/>
          </w:rPr>
          <w:t>https://welcome.optumrx.com/rxexternal/external-prescription-drug-list?type=PDPClientFormulary&amp;var=X25ETEGD&amp;infoid=X25ETEGD&amp;clientCode=ETHOEDL</w:t>
        </w:r>
      </w:hyperlink>
      <w:r w:rsidR="007D49D0">
        <w:rPr>
          <w:rFonts w:ascii="Futura" w:hAnsi="Futura"/>
          <w:b/>
          <w:bCs/>
          <w:color w:val="00AEDB"/>
          <w:sz w:val="24"/>
          <w:szCs w:val="24"/>
        </w:rPr>
        <w:t xml:space="preserve"> or Part B agents filled through the pharmacy benefit (nebulizer solutions)</w:t>
      </w:r>
    </w:p>
    <w:p w14:paraId="774B8CB8" w14:textId="5CD4ADBF" w:rsidR="00F325A6" w:rsidRPr="007C590C" w:rsidRDefault="00F325A6" w:rsidP="007C590C">
      <w:pPr>
        <w:pStyle w:val="ListParagraph"/>
        <w:numPr>
          <w:ilvl w:val="1"/>
          <w:numId w:val="47"/>
        </w:numPr>
        <w:spacing w:after="0" w:line="240" w:lineRule="auto"/>
        <w:jc w:val="both"/>
        <w:rPr>
          <w:rFonts w:ascii="Futura" w:hAnsi="Futura"/>
          <w:b/>
          <w:bCs/>
          <w:color w:val="00AEDB"/>
          <w:sz w:val="24"/>
          <w:szCs w:val="24"/>
        </w:rPr>
      </w:pPr>
      <w:bookmarkStart w:id="0" w:name="_Hlk190865049"/>
      <w:r>
        <w:rPr>
          <w:rFonts w:ascii="Futura" w:hAnsi="Futura"/>
          <w:b/>
          <w:bCs/>
          <w:color w:val="00AEDB"/>
          <w:sz w:val="24"/>
          <w:szCs w:val="24"/>
        </w:rPr>
        <w:t xml:space="preserve">If </w:t>
      </w:r>
      <w:r w:rsidR="00A20E85">
        <w:rPr>
          <w:rFonts w:ascii="Futura" w:hAnsi="Futura"/>
          <w:b/>
          <w:bCs/>
          <w:color w:val="00AEDB"/>
          <w:sz w:val="24"/>
          <w:szCs w:val="24"/>
        </w:rPr>
        <w:t xml:space="preserve">the </w:t>
      </w:r>
      <w:r>
        <w:rPr>
          <w:rFonts w:ascii="Futura" w:hAnsi="Futura"/>
          <w:b/>
          <w:bCs/>
          <w:color w:val="00AEDB"/>
          <w:sz w:val="24"/>
          <w:szCs w:val="24"/>
        </w:rPr>
        <w:t xml:space="preserve">requested agent is </w:t>
      </w:r>
      <w:r w:rsidR="005A7514">
        <w:rPr>
          <w:rFonts w:ascii="Futura" w:hAnsi="Futura"/>
          <w:b/>
          <w:bCs/>
          <w:color w:val="00AEDB"/>
          <w:sz w:val="24"/>
          <w:szCs w:val="24"/>
        </w:rPr>
        <w:t>for Fasenr</w:t>
      </w:r>
      <w:r>
        <w:rPr>
          <w:rFonts w:ascii="Futura" w:hAnsi="Futura"/>
          <w:b/>
          <w:bCs/>
          <w:color w:val="00AEDB"/>
          <w:sz w:val="24"/>
          <w:szCs w:val="24"/>
        </w:rPr>
        <w:t>a</w:t>
      </w:r>
      <w:r w:rsidR="005A7514">
        <w:rPr>
          <w:rFonts w:ascii="Futura" w:hAnsi="Futura"/>
          <w:b/>
          <w:bCs/>
          <w:color w:val="00AEDB"/>
          <w:sz w:val="24"/>
          <w:szCs w:val="24"/>
        </w:rPr>
        <w:t>, Nucala or Xolair</w:t>
      </w:r>
      <w:bookmarkEnd w:id="0"/>
      <w:r>
        <w:rPr>
          <w:rFonts w:ascii="Futura" w:hAnsi="Futura"/>
          <w:b/>
          <w:bCs/>
          <w:color w:val="00AEDB"/>
          <w:sz w:val="24"/>
          <w:szCs w:val="24"/>
        </w:rPr>
        <w:t xml:space="preserve"> </w:t>
      </w:r>
      <w:r w:rsidR="0002789A" w:rsidRPr="007C590C">
        <w:rPr>
          <w:rFonts w:ascii="Futura" w:hAnsi="Futura"/>
          <w:b/>
          <w:bCs/>
          <w:color w:val="00AEDB"/>
          <w:sz w:val="24"/>
          <w:szCs w:val="24"/>
        </w:rPr>
        <w:t>it is preferred that the drug is filled through the pharmacy benefit and the PBM criteria is</w:t>
      </w:r>
      <w:r w:rsidR="007C590C" w:rsidRPr="007C590C">
        <w:rPr>
          <w:rFonts w:ascii="Futura" w:hAnsi="Futura"/>
          <w:b/>
          <w:bCs/>
          <w:color w:val="00AEDB"/>
          <w:sz w:val="24"/>
          <w:szCs w:val="24"/>
        </w:rPr>
        <w:t xml:space="preserve"> used.  The provider should submit the authorization to the PBM.</w:t>
      </w:r>
      <w:r w:rsidR="0073162B">
        <w:rPr>
          <w:rFonts w:ascii="Futura" w:hAnsi="Futura"/>
          <w:b/>
          <w:bCs/>
          <w:color w:val="00AEDB"/>
          <w:sz w:val="24"/>
          <w:szCs w:val="24"/>
        </w:rPr>
        <w:t xml:space="preserve">  If they state that the member cannot self-administer or has a condition that prohibits the </w:t>
      </w:r>
      <w:r w:rsidR="00A20E85">
        <w:rPr>
          <w:rFonts w:ascii="Futura" w:hAnsi="Futura"/>
          <w:b/>
          <w:bCs/>
          <w:color w:val="00AEDB"/>
          <w:sz w:val="24"/>
          <w:szCs w:val="24"/>
        </w:rPr>
        <w:t>use of an agent through the pharmacy benefit the case can be reviewed for medical necessity and use of prior pharmacy agents and may be approved.</w:t>
      </w:r>
    </w:p>
    <w:p w14:paraId="68E81521" w14:textId="316CDB8C" w:rsidR="00F325A6" w:rsidRDefault="00F325A6" w:rsidP="00AA0339">
      <w:pPr>
        <w:pStyle w:val="ListParagraph"/>
        <w:numPr>
          <w:ilvl w:val="1"/>
          <w:numId w:val="47"/>
        </w:numPr>
        <w:spacing w:after="0" w:line="240" w:lineRule="auto"/>
        <w:jc w:val="both"/>
        <w:rPr>
          <w:rFonts w:ascii="Futura" w:hAnsi="Futura"/>
          <w:b/>
          <w:bCs/>
          <w:color w:val="00AEDB"/>
          <w:sz w:val="24"/>
          <w:szCs w:val="24"/>
        </w:rPr>
      </w:pPr>
      <w:r>
        <w:rPr>
          <w:rFonts w:ascii="Futura" w:hAnsi="Futura"/>
          <w:b/>
          <w:bCs/>
          <w:color w:val="00AEDB"/>
          <w:sz w:val="24"/>
          <w:szCs w:val="24"/>
        </w:rPr>
        <w:t xml:space="preserve">If </w:t>
      </w:r>
      <w:r w:rsidR="00A20E85">
        <w:rPr>
          <w:rFonts w:ascii="Futura" w:hAnsi="Futura"/>
          <w:b/>
          <w:bCs/>
          <w:color w:val="00AEDB"/>
          <w:sz w:val="24"/>
          <w:szCs w:val="24"/>
        </w:rPr>
        <w:t xml:space="preserve">the </w:t>
      </w:r>
      <w:r>
        <w:rPr>
          <w:rFonts w:ascii="Futura" w:hAnsi="Futura"/>
          <w:b/>
          <w:bCs/>
          <w:color w:val="00AEDB"/>
          <w:sz w:val="24"/>
          <w:szCs w:val="24"/>
        </w:rPr>
        <w:t xml:space="preserve">requested agent is </w:t>
      </w:r>
      <w:r w:rsidR="00AA0339">
        <w:rPr>
          <w:rFonts w:ascii="Futura" w:hAnsi="Futura"/>
          <w:b/>
          <w:bCs/>
          <w:color w:val="00AEDB"/>
          <w:sz w:val="24"/>
          <w:szCs w:val="24"/>
        </w:rPr>
        <w:t xml:space="preserve">for Cinqair or Tezspire </w:t>
      </w:r>
      <w:r w:rsidR="00AA0339" w:rsidRPr="007C590C">
        <w:rPr>
          <w:rFonts w:ascii="Futura" w:hAnsi="Futura"/>
          <w:b/>
          <w:bCs/>
          <w:color w:val="00AEDB"/>
          <w:sz w:val="24"/>
          <w:szCs w:val="24"/>
        </w:rPr>
        <w:t>it is preferred that the drug is filled through the pharmacy benefit and the PBM criteria is used.  The provider should submit the authorization to the PBM.</w:t>
      </w:r>
      <w:r w:rsidR="00AA0339">
        <w:rPr>
          <w:rFonts w:ascii="Futura" w:hAnsi="Futura"/>
          <w:b/>
          <w:bCs/>
          <w:color w:val="00AEDB"/>
          <w:sz w:val="24"/>
          <w:szCs w:val="24"/>
        </w:rPr>
        <w:t xml:space="preserve">  If they state that the member cannot self-administer or has a condition that prohibits the use of an agent through the pharmacy benefit the case can be reviewed for medical necessity, the use of prior pharmacy agents, and trial and lack of clinical response to F</w:t>
      </w:r>
      <w:r w:rsidR="00A15C06">
        <w:rPr>
          <w:rFonts w:ascii="Futura" w:hAnsi="Futura"/>
          <w:b/>
          <w:bCs/>
          <w:color w:val="00AEDB"/>
          <w:sz w:val="24"/>
          <w:szCs w:val="24"/>
        </w:rPr>
        <w:t>asenra, Nucala, or Xolair</w:t>
      </w:r>
      <w:r w:rsidR="00AA0339">
        <w:rPr>
          <w:rFonts w:ascii="Futura" w:hAnsi="Futura"/>
          <w:b/>
          <w:bCs/>
          <w:color w:val="00AEDB"/>
          <w:sz w:val="24"/>
          <w:szCs w:val="24"/>
        </w:rPr>
        <w:t xml:space="preserve"> and may be approved.</w:t>
      </w:r>
    </w:p>
    <w:p w14:paraId="2A7F731F" w14:textId="77777777" w:rsidR="00F325A6" w:rsidRDefault="00F325A6" w:rsidP="00F325A6">
      <w:pPr>
        <w:pStyle w:val="ListParagraph"/>
        <w:numPr>
          <w:ilvl w:val="0"/>
          <w:numId w:val="47"/>
        </w:numPr>
        <w:spacing w:after="0" w:line="240" w:lineRule="auto"/>
        <w:jc w:val="both"/>
        <w:rPr>
          <w:rFonts w:ascii="Futura" w:hAnsi="Futura"/>
          <w:b/>
          <w:bCs/>
          <w:color w:val="00AEDB"/>
          <w:sz w:val="24"/>
          <w:szCs w:val="24"/>
        </w:rPr>
      </w:pPr>
      <w:r>
        <w:rPr>
          <w:rFonts w:ascii="Futura" w:hAnsi="Futura"/>
          <w:b/>
          <w:bCs/>
          <w:color w:val="00AEDB"/>
          <w:sz w:val="24"/>
          <w:szCs w:val="24"/>
        </w:rPr>
        <w:t>An exception to step therapy will be considered if:</w:t>
      </w:r>
    </w:p>
    <w:p w14:paraId="767047D2" w14:textId="77777777" w:rsidR="00F325A6" w:rsidRPr="00732065" w:rsidRDefault="00F325A6" w:rsidP="00F325A6">
      <w:pPr>
        <w:pStyle w:val="ListParagraph"/>
        <w:numPr>
          <w:ilvl w:val="1"/>
          <w:numId w:val="47"/>
        </w:numPr>
        <w:spacing w:after="0" w:line="240" w:lineRule="auto"/>
        <w:jc w:val="both"/>
        <w:rPr>
          <w:rFonts w:ascii="Futura" w:hAnsi="Futura"/>
          <w:b/>
          <w:bCs/>
          <w:color w:val="00AEDB"/>
          <w:sz w:val="24"/>
          <w:szCs w:val="24"/>
        </w:rPr>
      </w:pPr>
      <w:r>
        <w:rPr>
          <w:rFonts w:ascii="Futura" w:hAnsi="Futura"/>
          <w:b/>
          <w:bCs/>
          <w:color w:val="00AEDB"/>
          <w:sz w:val="24"/>
          <w:szCs w:val="24"/>
        </w:rPr>
        <w:t xml:space="preserve">There is specific </w:t>
      </w:r>
      <w:r w:rsidRPr="00732065">
        <w:rPr>
          <w:rFonts w:ascii="Futura" w:hAnsi="Futura"/>
          <w:b/>
          <w:bCs/>
          <w:color w:val="00AEDB"/>
          <w:sz w:val="24"/>
          <w:szCs w:val="24"/>
        </w:rPr>
        <w:t xml:space="preserve">documentation of inadequate response, contraindication, adverse event or otherwise </w:t>
      </w:r>
      <w:r>
        <w:rPr>
          <w:rFonts w:ascii="Futura" w:hAnsi="Futura"/>
          <w:b/>
          <w:bCs/>
          <w:color w:val="00AEDB"/>
          <w:sz w:val="24"/>
          <w:szCs w:val="24"/>
        </w:rPr>
        <w:t>d</w:t>
      </w:r>
      <w:r w:rsidRPr="00732065">
        <w:rPr>
          <w:rFonts w:ascii="Futura" w:hAnsi="Futura"/>
          <w:b/>
          <w:bCs/>
          <w:color w:val="00AEDB"/>
          <w:sz w:val="24"/>
          <w:szCs w:val="24"/>
        </w:rPr>
        <w:t>emonstrated for a preferred agent if requesting a secondary agent, and for preferred and secondary agents if requesting a tertiary agent.</w:t>
      </w:r>
    </w:p>
    <w:p w14:paraId="4C804224" w14:textId="4323B094" w:rsidR="00F325A6" w:rsidRPr="00732065" w:rsidRDefault="00F325A6" w:rsidP="00F325A6">
      <w:pPr>
        <w:pStyle w:val="ListParagraph"/>
        <w:numPr>
          <w:ilvl w:val="1"/>
          <w:numId w:val="47"/>
        </w:numPr>
        <w:spacing w:after="0" w:line="240" w:lineRule="auto"/>
        <w:jc w:val="both"/>
        <w:rPr>
          <w:rFonts w:ascii="Futura" w:hAnsi="Futura"/>
          <w:b/>
          <w:bCs/>
          <w:color w:val="00AEDB"/>
          <w:sz w:val="24"/>
          <w:szCs w:val="24"/>
        </w:rPr>
      </w:pPr>
      <w:r>
        <w:rPr>
          <w:rFonts w:ascii="Futura" w:hAnsi="Futura"/>
          <w:b/>
          <w:bCs/>
          <w:color w:val="00AEDB"/>
          <w:sz w:val="24"/>
          <w:szCs w:val="24"/>
        </w:rPr>
        <w:t>Request contains</w:t>
      </w:r>
      <w:r w:rsidRPr="00732065">
        <w:rPr>
          <w:rFonts w:ascii="Futura" w:hAnsi="Futura"/>
          <w:b/>
          <w:bCs/>
          <w:color w:val="00AEDB"/>
          <w:sz w:val="24"/>
          <w:szCs w:val="24"/>
        </w:rPr>
        <w:t xml:space="preserve"> documentation of a continuation of therapy within the past </w:t>
      </w:r>
      <w:r w:rsidR="005C64A2">
        <w:rPr>
          <w:rFonts w:ascii="Futura" w:hAnsi="Futura"/>
          <w:b/>
          <w:bCs/>
          <w:color w:val="00AEDB"/>
          <w:sz w:val="24"/>
          <w:szCs w:val="24"/>
        </w:rPr>
        <w:t>365</w:t>
      </w:r>
      <w:r w:rsidRPr="00732065">
        <w:rPr>
          <w:rFonts w:ascii="Futura" w:hAnsi="Futura"/>
          <w:b/>
          <w:bCs/>
          <w:color w:val="00AEDB"/>
          <w:sz w:val="24"/>
          <w:szCs w:val="24"/>
        </w:rPr>
        <w:t xml:space="preserve"> days (if new) or if it is a reauthorization request.</w:t>
      </w:r>
    </w:p>
    <w:p w14:paraId="6F764CD8" w14:textId="77777777" w:rsidR="00F325A6" w:rsidRPr="00732065" w:rsidRDefault="00F325A6" w:rsidP="00F325A6">
      <w:pPr>
        <w:pStyle w:val="ListParagraph"/>
        <w:numPr>
          <w:ilvl w:val="0"/>
          <w:numId w:val="47"/>
        </w:numPr>
        <w:spacing w:after="0" w:line="240" w:lineRule="auto"/>
        <w:jc w:val="both"/>
        <w:rPr>
          <w:rFonts w:ascii="Futura" w:hAnsi="Futura"/>
          <w:b/>
          <w:bCs/>
          <w:color w:val="00AEDB"/>
          <w:sz w:val="24"/>
          <w:szCs w:val="24"/>
        </w:rPr>
      </w:pPr>
      <w:r w:rsidRPr="00732065">
        <w:rPr>
          <w:rFonts w:ascii="Futura" w:hAnsi="Futura"/>
          <w:b/>
          <w:bCs/>
          <w:color w:val="00AEDB"/>
          <w:sz w:val="24"/>
          <w:szCs w:val="24"/>
        </w:rPr>
        <w:t>In either of the above situations, the product being used cannot be based on the use of samples or products provided through manufacturer patient assistance programs.</w:t>
      </w:r>
    </w:p>
    <w:p w14:paraId="5B9130D3" w14:textId="77777777" w:rsidR="00F325A6" w:rsidRDefault="00F325A6" w:rsidP="00554794">
      <w:pPr>
        <w:spacing w:after="0" w:line="240" w:lineRule="auto"/>
        <w:jc w:val="both"/>
        <w:rPr>
          <w:rFonts w:ascii="Futura" w:eastAsia="Calibri" w:hAnsi="Futura" w:cs="Calibri"/>
          <w:color w:val="000000"/>
          <w:sz w:val="20"/>
          <w:szCs w:val="20"/>
          <w:lang w:bidi="en-US"/>
        </w:rPr>
      </w:pPr>
    </w:p>
    <w:p w14:paraId="4D085817" w14:textId="2D9A8FD3" w:rsidR="00E42974" w:rsidRPr="0018204C" w:rsidRDefault="00E42974" w:rsidP="00554794">
      <w:pPr>
        <w:spacing w:after="0" w:line="240" w:lineRule="auto"/>
        <w:jc w:val="both"/>
        <w:rPr>
          <w:rFonts w:ascii="Futura" w:hAnsi="Futura"/>
          <w:b/>
          <w:bCs/>
          <w:color w:val="00AEDB"/>
          <w:sz w:val="24"/>
          <w:szCs w:val="24"/>
        </w:rPr>
      </w:pPr>
      <w:r w:rsidRPr="0018204C">
        <w:rPr>
          <w:rFonts w:ascii="Futura" w:hAnsi="Futura"/>
          <w:b/>
          <w:bCs/>
          <w:color w:val="00AEDB"/>
          <w:sz w:val="24"/>
          <w:szCs w:val="24"/>
        </w:rPr>
        <w:t>Exclusions:</w:t>
      </w:r>
    </w:p>
    <w:p w14:paraId="121B4A0C" w14:textId="30BA3CFC" w:rsidR="0018204C" w:rsidRDefault="004B7D0A" w:rsidP="009B60D0">
      <w:pPr>
        <w:numPr>
          <w:ilvl w:val="0"/>
          <w:numId w:val="2"/>
        </w:num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Requests for indications not FDA approved or supported by documentation of compendial acceptance provided by the requesting provider</w:t>
      </w:r>
    </w:p>
    <w:p w14:paraId="17A5F358" w14:textId="77777777" w:rsidR="00323429" w:rsidRDefault="00323429" w:rsidP="00323429">
      <w:pPr>
        <w:spacing w:after="0" w:line="240" w:lineRule="auto"/>
        <w:jc w:val="both"/>
        <w:rPr>
          <w:rFonts w:ascii="Futura" w:eastAsia="Calibri" w:hAnsi="Futura" w:cs="Calibri"/>
          <w:color w:val="000000"/>
          <w:sz w:val="20"/>
          <w:szCs w:val="20"/>
          <w:lang w:bidi="en-US"/>
        </w:rPr>
      </w:pPr>
    </w:p>
    <w:p w14:paraId="73D4569D" w14:textId="77777777" w:rsidR="003E698F" w:rsidRDefault="003E698F" w:rsidP="00320403">
      <w:pPr>
        <w:spacing w:after="0" w:line="240" w:lineRule="auto"/>
        <w:rPr>
          <w:rFonts w:ascii="Futura" w:hAnsi="Futura"/>
          <w:b/>
          <w:bCs/>
          <w:color w:val="00AEDB"/>
          <w:sz w:val="24"/>
          <w:szCs w:val="24"/>
        </w:rPr>
      </w:pPr>
    </w:p>
    <w:p w14:paraId="42E5438B" w14:textId="77777777" w:rsidR="003E698F" w:rsidRDefault="003E698F" w:rsidP="00320403">
      <w:pPr>
        <w:spacing w:after="0" w:line="240" w:lineRule="auto"/>
        <w:rPr>
          <w:rFonts w:ascii="Futura" w:hAnsi="Futura"/>
          <w:b/>
          <w:bCs/>
          <w:color w:val="00AEDB"/>
          <w:sz w:val="24"/>
          <w:szCs w:val="24"/>
        </w:rPr>
      </w:pPr>
    </w:p>
    <w:p w14:paraId="32A4B9C2" w14:textId="77777777" w:rsidR="00F325A6" w:rsidRDefault="00F325A6" w:rsidP="00320403">
      <w:pPr>
        <w:spacing w:after="0" w:line="240" w:lineRule="auto"/>
        <w:rPr>
          <w:rFonts w:ascii="Futura" w:hAnsi="Futura"/>
          <w:b/>
          <w:bCs/>
          <w:color w:val="00AEDB"/>
          <w:sz w:val="24"/>
          <w:szCs w:val="24"/>
        </w:rPr>
      </w:pPr>
    </w:p>
    <w:p w14:paraId="14E7C469" w14:textId="77777777" w:rsidR="00F325A6" w:rsidRDefault="00F325A6" w:rsidP="00320403">
      <w:pPr>
        <w:spacing w:after="0" w:line="240" w:lineRule="auto"/>
        <w:rPr>
          <w:rFonts w:ascii="Futura" w:hAnsi="Futura"/>
          <w:b/>
          <w:bCs/>
          <w:color w:val="00AEDB"/>
          <w:sz w:val="24"/>
          <w:szCs w:val="24"/>
        </w:rPr>
      </w:pPr>
    </w:p>
    <w:p w14:paraId="6D582B2D" w14:textId="77777777" w:rsidR="00F325A6" w:rsidRDefault="00F325A6" w:rsidP="00320403">
      <w:pPr>
        <w:spacing w:after="0" w:line="240" w:lineRule="auto"/>
        <w:rPr>
          <w:rFonts w:ascii="Futura" w:hAnsi="Futura"/>
          <w:b/>
          <w:bCs/>
          <w:color w:val="00AEDB"/>
          <w:sz w:val="24"/>
          <w:szCs w:val="24"/>
        </w:rPr>
      </w:pPr>
    </w:p>
    <w:p w14:paraId="6213EEAA" w14:textId="77777777" w:rsidR="00F325A6" w:rsidRDefault="00F325A6" w:rsidP="00320403">
      <w:pPr>
        <w:spacing w:after="0" w:line="240" w:lineRule="auto"/>
        <w:rPr>
          <w:rFonts w:ascii="Futura" w:hAnsi="Futura"/>
          <w:b/>
          <w:bCs/>
          <w:color w:val="00AEDB"/>
          <w:sz w:val="24"/>
          <w:szCs w:val="24"/>
        </w:rPr>
      </w:pPr>
    </w:p>
    <w:p w14:paraId="15BDFBEC" w14:textId="340BC730" w:rsidR="00255C58" w:rsidRDefault="00255C58" w:rsidP="00320403">
      <w:pPr>
        <w:spacing w:after="0" w:line="240" w:lineRule="auto"/>
        <w:rPr>
          <w:rFonts w:ascii="Futura" w:hAnsi="Futura"/>
          <w:b/>
          <w:bCs/>
          <w:color w:val="00AEDB"/>
          <w:sz w:val="24"/>
          <w:szCs w:val="24"/>
        </w:rPr>
      </w:pPr>
      <w:r>
        <w:rPr>
          <w:rFonts w:ascii="Futura" w:hAnsi="Futura"/>
          <w:b/>
          <w:bCs/>
          <w:color w:val="00AEDB"/>
          <w:sz w:val="24"/>
          <w:szCs w:val="24"/>
        </w:rPr>
        <w:t>Preferencing:</w:t>
      </w:r>
    </w:p>
    <w:p w14:paraId="366D9618" w14:textId="5049E2DE" w:rsidR="00255C58" w:rsidRPr="00CD2097" w:rsidRDefault="00255C58" w:rsidP="00320403">
      <w:pPr>
        <w:spacing w:after="0" w:line="240" w:lineRule="auto"/>
        <w:rPr>
          <w:rFonts w:ascii="Futura" w:hAnsi="Futura"/>
          <w:sz w:val="24"/>
          <w:szCs w:val="24"/>
        </w:rPr>
      </w:pPr>
      <w:r w:rsidRPr="00CD2097">
        <w:rPr>
          <w:rFonts w:ascii="Futura" w:hAnsi="Futura"/>
          <w:b/>
          <w:bCs/>
          <w:sz w:val="24"/>
          <w:szCs w:val="24"/>
        </w:rPr>
        <w:t>Preferred Agents:</w:t>
      </w:r>
      <w:r w:rsidR="00CD2097">
        <w:rPr>
          <w:rFonts w:ascii="Futura" w:hAnsi="Futura"/>
          <w:b/>
          <w:bCs/>
          <w:sz w:val="24"/>
          <w:szCs w:val="24"/>
        </w:rPr>
        <w:t xml:space="preserve"> </w:t>
      </w:r>
      <w:r w:rsidR="004B6BF3">
        <w:rPr>
          <w:rFonts w:ascii="Futura" w:hAnsi="Futura"/>
          <w:b/>
          <w:bCs/>
          <w:sz w:val="24"/>
          <w:szCs w:val="24"/>
        </w:rPr>
        <w:t>Formulary</w:t>
      </w:r>
      <w:r w:rsidR="00DE127F">
        <w:rPr>
          <w:rFonts w:ascii="Futura" w:hAnsi="Futura"/>
          <w:b/>
          <w:bCs/>
          <w:sz w:val="24"/>
          <w:szCs w:val="24"/>
        </w:rPr>
        <w:t xml:space="preserve"> </w:t>
      </w:r>
      <w:r w:rsidR="00B55BB0">
        <w:rPr>
          <w:rFonts w:ascii="Futura" w:hAnsi="Futura"/>
          <w:b/>
          <w:bCs/>
          <w:sz w:val="24"/>
          <w:szCs w:val="24"/>
        </w:rPr>
        <w:t>Part D</w:t>
      </w:r>
      <w:r w:rsidR="00DE127F">
        <w:rPr>
          <w:rFonts w:ascii="Futura" w:hAnsi="Futura"/>
          <w:b/>
          <w:bCs/>
          <w:sz w:val="24"/>
          <w:szCs w:val="24"/>
        </w:rPr>
        <w:t xml:space="preserve"> </w:t>
      </w:r>
      <w:r w:rsidR="00A83D94">
        <w:rPr>
          <w:rFonts w:ascii="Futura" w:hAnsi="Futura"/>
          <w:b/>
          <w:bCs/>
          <w:sz w:val="24"/>
          <w:szCs w:val="24"/>
        </w:rPr>
        <w:t xml:space="preserve">agents </w:t>
      </w:r>
      <w:r w:rsidR="00DE127F">
        <w:rPr>
          <w:rFonts w:ascii="Futura" w:hAnsi="Futura"/>
          <w:b/>
          <w:bCs/>
          <w:sz w:val="24"/>
          <w:szCs w:val="24"/>
        </w:rPr>
        <w:t>and Part B</w:t>
      </w:r>
      <w:r w:rsidR="00B55BB0">
        <w:rPr>
          <w:rFonts w:ascii="Futura" w:hAnsi="Futura"/>
          <w:b/>
          <w:bCs/>
          <w:sz w:val="24"/>
          <w:szCs w:val="24"/>
        </w:rPr>
        <w:t xml:space="preserve"> agents</w:t>
      </w:r>
      <w:r w:rsidR="00A83D94">
        <w:rPr>
          <w:rFonts w:ascii="Futura" w:hAnsi="Futura"/>
          <w:b/>
          <w:bCs/>
          <w:sz w:val="24"/>
          <w:szCs w:val="24"/>
        </w:rPr>
        <w:t xml:space="preserve"> </w:t>
      </w:r>
      <w:r w:rsidR="009A41C7">
        <w:rPr>
          <w:rFonts w:ascii="Futura" w:hAnsi="Futura"/>
          <w:b/>
          <w:bCs/>
          <w:sz w:val="24"/>
          <w:szCs w:val="24"/>
        </w:rPr>
        <w:t>filled through pharmacy benefit</w:t>
      </w:r>
    </w:p>
    <w:p w14:paraId="6E9CE643" w14:textId="479744D5" w:rsidR="0090595D" w:rsidRDefault="0090595D" w:rsidP="00320403">
      <w:pPr>
        <w:spacing w:after="0" w:line="240" w:lineRule="auto"/>
        <w:rPr>
          <w:rFonts w:ascii="Futura" w:hAnsi="Futura"/>
          <w:b/>
          <w:bCs/>
          <w:sz w:val="24"/>
          <w:szCs w:val="24"/>
        </w:rPr>
      </w:pPr>
      <w:r w:rsidRPr="00CD2097">
        <w:rPr>
          <w:rFonts w:ascii="Futura" w:hAnsi="Futura"/>
          <w:b/>
          <w:bCs/>
          <w:sz w:val="24"/>
          <w:szCs w:val="24"/>
        </w:rPr>
        <w:t>Secondary Agents:</w:t>
      </w:r>
      <w:r w:rsidR="00CD2097">
        <w:rPr>
          <w:rFonts w:ascii="Futura" w:hAnsi="Futura"/>
          <w:b/>
          <w:bCs/>
          <w:sz w:val="24"/>
          <w:szCs w:val="24"/>
        </w:rPr>
        <w:t xml:space="preserve"> </w:t>
      </w:r>
      <w:r w:rsidR="00A83D94">
        <w:rPr>
          <w:rFonts w:ascii="Futura" w:hAnsi="Futura"/>
          <w:b/>
          <w:bCs/>
          <w:sz w:val="24"/>
          <w:szCs w:val="24"/>
        </w:rPr>
        <w:t>Fasenra</w:t>
      </w:r>
      <w:r w:rsidR="00911289">
        <w:rPr>
          <w:rFonts w:ascii="Futura" w:hAnsi="Futura"/>
          <w:b/>
          <w:bCs/>
          <w:sz w:val="24"/>
          <w:szCs w:val="24"/>
        </w:rPr>
        <w:t>, Nucala, Xolair</w:t>
      </w:r>
      <w:r w:rsidR="00733D2E">
        <w:rPr>
          <w:rFonts w:ascii="Futura" w:hAnsi="Futura"/>
          <w:b/>
          <w:bCs/>
          <w:sz w:val="24"/>
          <w:szCs w:val="24"/>
        </w:rPr>
        <w:t xml:space="preserve"> (Pharmacy benefit, then medical)</w:t>
      </w:r>
    </w:p>
    <w:p w14:paraId="1887478B" w14:textId="2881198C" w:rsidR="00AE372C" w:rsidRPr="00CD2097" w:rsidRDefault="00AE372C" w:rsidP="00320403">
      <w:pPr>
        <w:spacing w:after="0" w:line="240" w:lineRule="auto"/>
        <w:rPr>
          <w:rFonts w:ascii="Futura" w:hAnsi="Futura"/>
          <w:sz w:val="24"/>
          <w:szCs w:val="24"/>
        </w:rPr>
      </w:pPr>
      <w:r>
        <w:rPr>
          <w:rFonts w:ascii="Futura" w:hAnsi="Futura"/>
          <w:b/>
          <w:bCs/>
          <w:sz w:val="24"/>
          <w:szCs w:val="24"/>
        </w:rPr>
        <w:t xml:space="preserve">Tertiary Agents: </w:t>
      </w:r>
      <w:r w:rsidR="00A83D94">
        <w:rPr>
          <w:rFonts w:ascii="Futura" w:hAnsi="Futura"/>
          <w:b/>
          <w:bCs/>
          <w:sz w:val="24"/>
          <w:szCs w:val="24"/>
        </w:rPr>
        <w:t>Cinqair, Tezspire</w:t>
      </w:r>
      <w:r w:rsidR="00911289">
        <w:rPr>
          <w:rFonts w:ascii="Futura" w:hAnsi="Futura"/>
          <w:b/>
          <w:bCs/>
          <w:sz w:val="24"/>
          <w:szCs w:val="24"/>
        </w:rPr>
        <w:t xml:space="preserve"> </w:t>
      </w:r>
      <w:r w:rsidR="00733D2E">
        <w:rPr>
          <w:rFonts w:ascii="Futura" w:hAnsi="Futura"/>
          <w:b/>
          <w:bCs/>
          <w:sz w:val="24"/>
          <w:szCs w:val="24"/>
        </w:rPr>
        <w:t>(Pharmacy benefit, then medical)</w:t>
      </w:r>
    </w:p>
    <w:p w14:paraId="6CA5A894" w14:textId="77777777" w:rsidR="00255C58" w:rsidRDefault="00255C58" w:rsidP="00320403">
      <w:pPr>
        <w:spacing w:after="0" w:line="240" w:lineRule="auto"/>
        <w:rPr>
          <w:rFonts w:ascii="Futura" w:hAnsi="Futura"/>
          <w:b/>
          <w:bCs/>
          <w:color w:val="00AEDB"/>
          <w:sz w:val="24"/>
          <w:szCs w:val="24"/>
        </w:rPr>
      </w:pPr>
    </w:p>
    <w:p w14:paraId="25E29391" w14:textId="2523E219" w:rsidR="00320403" w:rsidRDefault="00B15619" w:rsidP="00320403">
      <w:pPr>
        <w:spacing w:after="0" w:line="240" w:lineRule="auto"/>
        <w:rPr>
          <w:rFonts w:ascii="Futura" w:hAnsi="Futura"/>
          <w:b/>
          <w:bCs/>
          <w:color w:val="00AEDB"/>
          <w:sz w:val="24"/>
          <w:szCs w:val="24"/>
        </w:rPr>
      </w:pPr>
      <w:r>
        <w:rPr>
          <w:rFonts w:ascii="Futura" w:hAnsi="Futura"/>
          <w:b/>
          <w:bCs/>
          <w:color w:val="00AEDB"/>
          <w:sz w:val="24"/>
          <w:szCs w:val="24"/>
        </w:rPr>
        <w:t>Agents</w:t>
      </w:r>
      <w:r w:rsidR="00320403">
        <w:rPr>
          <w:rFonts w:ascii="Futura" w:hAnsi="Futura"/>
          <w:b/>
          <w:bCs/>
          <w:color w:val="00AEDB"/>
          <w:sz w:val="24"/>
          <w:szCs w:val="24"/>
        </w:rPr>
        <w:t>:</w:t>
      </w:r>
    </w:p>
    <w:p w14:paraId="1171CEDC" w14:textId="77777777" w:rsidR="005027EC" w:rsidRPr="00B317BA" w:rsidRDefault="005027EC" w:rsidP="003E1B92">
      <w:pPr>
        <w:spacing w:after="0" w:line="240" w:lineRule="auto"/>
        <w:jc w:val="both"/>
        <w:rPr>
          <w:rFonts w:ascii="Futura" w:eastAsia="Calibri" w:hAnsi="Futura" w:cs="Calibri"/>
          <w:b/>
          <w:bCs/>
          <w:color w:val="000000"/>
          <w:sz w:val="20"/>
          <w:szCs w:val="20"/>
          <w:highlight w:val="yellow"/>
          <w:lang w:bidi="en-US"/>
        </w:rPr>
      </w:pPr>
    </w:p>
    <w:p w14:paraId="19B37186" w14:textId="2C20D552" w:rsidR="00E53122" w:rsidRPr="00E53122" w:rsidRDefault="003E1B92" w:rsidP="00E53122">
      <w:pPr>
        <w:spacing w:after="0" w:line="240" w:lineRule="auto"/>
        <w:jc w:val="both"/>
        <w:rPr>
          <w:rFonts w:ascii="Futura" w:eastAsia="Calibri" w:hAnsi="Futura" w:cs="Calibri"/>
          <w:b/>
          <w:bCs/>
          <w:color w:val="000000"/>
          <w:sz w:val="20"/>
          <w:szCs w:val="20"/>
          <w:lang w:bidi="en-US"/>
        </w:rPr>
      </w:pPr>
      <w:r w:rsidRPr="00467FD5">
        <w:rPr>
          <w:rFonts w:ascii="Futura" w:eastAsia="Calibri" w:hAnsi="Futura" w:cs="Calibri"/>
          <w:b/>
          <w:bCs/>
          <w:color w:val="000000"/>
          <w:sz w:val="20"/>
          <w:szCs w:val="20"/>
          <w:lang w:bidi="en-US"/>
        </w:rPr>
        <w:t xml:space="preserve">HCPCS: </w:t>
      </w:r>
      <w:r w:rsidR="00E53122" w:rsidRPr="00E53122">
        <w:rPr>
          <w:rFonts w:ascii="Futura" w:eastAsia="Calibri" w:hAnsi="Futura" w:cs="Calibri"/>
          <w:b/>
          <w:bCs/>
          <w:color w:val="000000"/>
          <w:sz w:val="20"/>
          <w:szCs w:val="20"/>
          <w:lang w:bidi="en-US"/>
        </w:rPr>
        <w:t>J0517, J2786, J2182, J2356, J2357</w:t>
      </w:r>
    </w:p>
    <w:p w14:paraId="5780A820" w14:textId="000FF7A6" w:rsidR="009815F3" w:rsidRDefault="009815F3" w:rsidP="00554794">
      <w:pPr>
        <w:spacing w:after="0" w:line="240" w:lineRule="auto"/>
        <w:jc w:val="both"/>
        <w:rPr>
          <w:rFonts w:ascii="Futura" w:eastAsia="Calibri" w:hAnsi="Futura" w:cs="Calibri"/>
          <w:color w:val="000000"/>
          <w:sz w:val="20"/>
          <w:szCs w:val="20"/>
          <w:lang w:bidi="en-US"/>
        </w:rPr>
      </w:pPr>
    </w:p>
    <w:p w14:paraId="4B65ABB6" w14:textId="77777777" w:rsidR="00496CB5" w:rsidRDefault="00C843B0" w:rsidP="00554794">
      <w:pPr>
        <w:spacing w:after="0" w:line="240" w:lineRule="auto"/>
        <w:jc w:val="both"/>
        <w:rPr>
          <w:rFonts w:ascii="Futura" w:eastAsia="Calibri" w:hAnsi="Futura" w:cs="Calibri"/>
          <w:color w:val="000000"/>
          <w:sz w:val="20"/>
          <w:szCs w:val="20"/>
          <w:lang w:bidi="en-US"/>
        </w:rPr>
      </w:pPr>
      <w:r w:rsidRPr="00496CB5">
        <w:rPr>
          <w:rFonts w:ascii="Futura" w:eastAsia="Calibri" w:hAnsi="Futura" w:cs="Calibri"/>
          <w:b/>
          <w:bCs/>
          <w:color w:val="000000"/>
          <w:sz w:val="28"/>
          <w:szCs w:val="28"/>
          <w:lang w:bidi="en-US"/>
        </w:rPr>
        <w:t>CINQAIR</w:t>
      </w:r>
      <w:r w:rsidRPr="00C843B0">
        <w:rPr>
          <w:rFonts w:ascii="Futura" w:eastAsia="Calibri" w:hAnsi="Futura" w:cs="Calibri"/>
          <w:color w:val="000000"/>
          <w:sz w:val="20"/>
          <w:szCs w:val="20"/>
          <w:lang w:bidi="en-US"/>
        </w:rPr>
        <w:t xml:space="preserve"> is an interleukin-5 antagonist monoclonal antibody (IgG4 kappa) indicated for add-on maintenance treatment of patients with severe asthma aged 18 years and older, and with an eosinophilic phenotype.</w:t>
      </w:r>
    </w:p>
    <w:p w14:paraId="73548049" w14:textId="77777777" w:rsidR="00496CB5" w:rsidRDefault="00496CB5" w:rsidP="00554794">
      <w:pPr>
        <w:spacing w:after="0" w:line="240" w:lineRule="auto"/>
        <w:jc w:val="both"/>
        <w:rPr>
          <w:rFonts w:ascii="Futura" w:eastAsia="Calibri" w:hAnsi="Futura" w:cs="Calibri"/>
          <w:color w:val="000000"/>
          <w:sz w:val="20"/>
          <w:szCs w:val="20"/>
          <w:lang w:bidi="en-US"/>
        </w:rPr>
      </w:pPr>
    </w:p>
    <w:p w14:paraId="71B9D22D" w14:textId="77777777" w:rsidR="00496CB5" w:rsidRDefault="00C843B0" w:rsidP="00554794">
      <w:pPr>
        <w:spacing w:after="0" w:line="240" w:lineRule="auto"/>
        <w:jc w:val="both"/>
        <w:rPr>
          <w:rFonts w:ascii="Futura" w:eastAsia="Calibri" w:hAnsi="Futura" w:cs="Calibri"/>
          <w:color w:val="000000"/>
          <w:sz w:val="20"/>
          <w:szCs w:val="20"/>
          <w:lang w:bidi="en-US"/>
        </w:rPr>
      </w:pPr>
      <w:r w:rsidRPr="00C843B0">
        <w:rPr>
          <w:rFonts w:ascii="Futura" w:eastAsia="Calibri" w:hAnsi="Futura" w:cs="Calibri"/>
          <w:color w:val="000000"/>
          <w:sz w:val="20"/>
          <w:szCs w:val="20"/>
          <w:lang w:bidi="en-US"/>
        </w:rPr>
        <w:t>Limitations of Use: CINQAIR is not indicated for:</w:t>
      </w:r>
    </w:p>
    <w:p w14:paraId="269C9A1B" w14:textId="77777777" w:rsidR="00037876" w:rsidRDefault="00C843B0" w:rsidP="00554794">
      <w:pPr>
        <w:spacing w:after="0" w:line="240" w:lineRule="auto"/>
        <w:jc w:val="both"/>
        <w:rPr>
          <w:rFonts w:ascii="Futura" w:eastAsia="Calibri" w:hAnsi="Futura" w:cs="Calibri"/>
          <w:color w:val="000000"/>
          <w:sz w:val="20"/>
          <w:szCs w:val="20"/>
          <w:lang w:bidi="en-US"/>
        </w:rPr>
      </w:pPr>
      <w:r w:rsidRPr="00C843B0">
        <w:rPr>
          <w:rFonts w:ascii="Futura" w:eastAsia="Calibri" w:hAnsi="Futura" w:cs="Calibri"/>
          <w:color w:val="000000"/>
          <w:sz w:val="20"/>
          <w:szCs w:val="20"/>
          <w:lang w:bidi="en-US"/>
        </w:rPr>
        <w:t xml:space="preserve">• treatment of other eosinophilic conditions </w:t>
      </w:r>
    </w:p>
    <w:p w14:paraId="474939FB" w14:textId="77777777" w:rsidR="00037876" w:rsidRDefault="00C843B0" w:rsidP="00554794">
      <w:pPr>
        <w:spacing w:after="0" w:line="240" w:lineRule="auto"/>
        <w:jc w:val="both"/>
        <w:rPr>
          <w:rFonts w:ascii="Futura" w:eastAsia="Calibri" w:hAnsi="Futura" w:cs="Calibri"/>
          <w:color w:val="000000"/>
          <w:sz w:val="20"/>
          <w:szCs w:val="20"/>
          <w:lang w:bidi="en-US"/>
        </w:rPr>
      </w:pPr>
      <w:r w:rsidRPr="00C843B0">
        <w:rPr>
          <w:rFonts w:ascii="Futura" w:eastAsia="Calibri" w:hAnsi="Futura" w:cs="Calibri"/>
          <w:color w:val="000000"/>
          <w:sz w:val="20"/>
          <w:szCs w:val="20"/>
          <w:lang w:bidi="en-US"/>
        </w:rPr>
        <w:t>• relief of acute bronchospasm or status asthmaticus</w:t>
      </w:r>
    </w:p>
    <w:p w14:paraId="08663671" w14:textId="77777777" w:rsidR="00037876" w:rsidRDefault="00037876" w:rsidP="00554794">
      <w:pPr>
        <w:spacing w:after="0" w:line="240" w:lineRule="auto"/>
        <w:jc w:val="both"/>
        <w:rPr>
          <w:rFonts w:ascii="Futura" w:eastAsia="Calibri" w:hAnsi="Futura" w:cs="Calibri"/>
          <w:color w:val="000000"/>
          <w:sz w:val="20"/>
          <w:szCs w:val="20"/>
          <w:lang w:bidi="en-US"/>
        </w:rPr>
      </w:pPr>
    </w:p>
    <w:p w14:paraId="33D883AA" w14:textId="77777777" w:rsidR="00037876" w:rsidRDefault="00C843B0" w:rsidP="00554794">
      <w:pPr>
        <w:spacing w:after="0" w:line="240" w:lineRule="auto"/>
        <w:jc w:val="both"/>
        <w:rPr>
          <w:rFonts w:ascii="Futura" w:eastAsia="Calibri" w:hAnsi="Futura" w:cs="Calibri"/>
          <w:color w:val="000000"/>
          <w:sz w:val="20"/>
          <w:szCs w:val="20"/>
          <w:lang w:bidi="en-US"/>
        </w:rPr>
      </w:pPr>
      <w:r w:rsidRPr="00C843B0">
        <w:rPr>
          <w:rFonts w:ascii="Futura" w:eastAsia="Calibri" w:hAnsi="Futura" w:cs="Calibri"/>
          <w:color w:val="000000"/>
          <w:sz w:val="20"/>
          <w:szCs w:val="20"/>
          <w:lang w:bidi="en-US"/>
        </w:rPr>
        <w:t xml:space="preserve">DOSAGE AND ADMINISTRATION </w:t>
      </w:r>
    </w:p>
    <w:p w14:paraId="1411808C" w14:textId="77777777" w:rsidR="00037876" w:rsidRDefault="00C843B0" w:rsidP="00554794">
      <w:pPr>
        <w:spacing w:after="0" w:line="240" w:lineRule="auto"/>
        <w:jc w:val="both"/>
        <w:rPr>
          <w:rFonts w:ascii="Futura" w:eastAsia="Calibri" w:hAnsi="Futura" w:cs="Calibri"/>
          <w:color w:val="000000"/>
          <w:sz w:val="20"/>
          <w:szCs w:val="20"/>
          <w:lang w:bidi="en-US"/>
        </w:rPr>
      </w:pPr>
      <w:r w:rsidRPr="00C843B0">
        <w:rPr>
          <w:rFonts w:ascii="Futura" w:eastAsia="Calibri" w:hAnsi="Futura" w:cs="Calibri"/>
          <w:color w:val="000000"/>
          <w:sz w:val="20"/>
          <w:szCs w:val="20"/>
          <w:lang w:bidi="en-US"/>
        </w:rPr>
        <w:t>• CINQAIR is for intravenous infusion only. Do not administer as an intravenous push or bolus</w:t>
      </w:r>
    </w:p>
    <w:p w14:paraId="11633420" w14:textId="77777777" w:rsidR="00037876" w:rsidRDefault="00C843B0" w:rsidP="00554794">
      <w:pPr>
        <w:spacing w:after="0" w:line="240" w:lineRule="auto"/>
        <w:jc w:val="both"/>
        <w:rPr>
          <w:rFonts w:ascii="Futura" w:eastAsia="Calibri" w:hAnsi="Futura" w:cs="Calibri"/>
          <w:color w:val="000000"/>
          <w:sz w:val="20"/>
          <w:szCs w:val="20"/>
          <w:lang w:bidi="en-US"/>
        </w:rPr>
      </w:pPr>
      <w:r w:rsidRPr="00C843B0">
        <w:rPr>
          <w:rFonts w:ascii="Futura" w:eastAsia="Calibri" w:hAnsi="Futura" w:cs="Calibri"/>
          <w:color w:val="000000"/>
          <w:sz w:val="20"/>
          <w:szCs w:val="20"/>
          <w:lang w:bidi="en-US"/>
        </w:rPr>
        <w:t xml:space="preserve">• CINQAIR should be administered by a healthcare professional prepared to manage anaphylaxis </w:t>
      </w:r>
    </w:p>
    <w:p w14:paraId="6BD51F15" w14:textId="5A5531C5" w:rsidR="00C10152" w:rsidRDefault="00C843B0" w:rsidP="00554794">
      <w:pPr>
        <w:spacing w:after="0" w:line="240" w:lineRule="auto"/>
        <w:jc w:val="both"/>
        <w:rPr>
          <w:rFonts w:ascii="Futura" w:eastAsia="Calibri" w:hAnsi="Futura" w:cs="Calibri"/>
          <w:color w:val="000000"/>
          <w:sz w:val="20"/>
          <w:szCs w:val="20"/>
          <w:lang w:bidi="en-US"/>
        </w:rPr>
      </w:pPr>
      <w:r w:rsidRPr="00C843B0">
        <w:rPr>
          <w:rFonts w:ascii="Futura" w:eastAsia="Calibri" w:hAnsi="Futura" w:cs="Calibri"/>
          <w:color w:val="000000"/>
          <w:sz w:val="20"/>
          <w:szCs w:val="20"/>
          <w:lang w:bidi="en-US"/>
        </w:rPr>
        <w:t>• Recommended dosage regimen is 3 mg/kg once every 4 weeks by intravenous infusion over 20-50 minutes</w:t>
      </w:r>
    </w:p>
    <w:p w14:paraId="560EEE3C" w14:textId="77777777" w:rsidR="00626959" w:rsidRDefault="00626959" w:rsidP="00554794">
      <w:pPr>
        <w:spacing w:after="0" w:line="240" w:lineRule="auto"/>
        <w:jc w:val="both"/>
        <w:rPr>
          <w:rFonts w:ascii="Futura" w:eastAsia="Calibri" w:hAnsi="Futura" w:cs="Calibri"/>
          <w:color w:val="000000"/>
          <w:sz w:val="20"/>
          <w:szCs w:val="20"/>
          <w:lang w:bidi="en-US"/>
        </w:rPr>
      </w:pPr>
    </w:p>
    <w:p w14:paraId="24C9B6D3" w14:textId="5E803C13" w:rsidR="00626959" w:rsidRPr="00626959" w:rsidRDefault="00626959" w:rsidP="009B60D0">
      <w:pPr>
        <w:numPr>
          <w:ilvl w:val="0"/>
          <w:numId w:val="37"/>
        </w:numPr>
        <w:spacing w:after="0" w:line="240" w:lineRule="auto"/>
        <w:jc w:val="both"/>
        <w:rPr>
          <w:rFonts w:ascii="Futura" w:eastAsia="Calibri" w:hAnsi="Futura" w:cs="Calibri"/>
          <w:color w:val="000000"/>
          <w:sz w:val="20"/>
          <w:szCs w:val="20"/>
          <w:lang w:bidi="en-US"/>
        </w:rPr>
      </w:pPr>
      <w:r w:rsidRPr="00626959">
        <w:rPr>
          <w:rFonts w:ascii="Futura" w:eastAsia="Calibri" w:hAnsi="Futura" w:cs="Calibri"/>
          <w:color w:val="000000"/>
          <w:sz w:val="20"/>
          <w:szCs w:val="20"/>
          <w:lang w:bidi="en-US"/>
        </w:rPr>
        <w:t>Reslizumab may be indicated for </w:t>
      </w:r>
      <w:r w:rsidR="00083349" w:rsidRPr="00626959">
        <w:rPr>
          <w:rFonts w:ascii="Futura" w:eastAsia="Calibri" w:hAnsi="Futura" w:cs="Calibri"/>
          <w:b/>
          <w:bCs/>
          <w:color w:val="000000"/>
          <w:sz w:val="20"/>
          <w:szCs w:val="20"/>
          <w:lang w:bidi="en-US"/>
        </w:rPr>
        <w:t>ALL</w:t>
      </w:r>
      <w:r w:rsidRPr="00626959">
        <w:rPr>
          <w:rFonts w:ascii="Futura" w:eastAsia="Calibri" w:hAnsi="Futura" w:cs="Calibri"/>
          <w:color w:val="000000"/>
          <w:sz w:val="20"/>
          <w:szCs w:val="20"/>
          <w:lang w:bidi="en-US"/>
        </w:rPr>
        <w:t xml:space="preserve"> the following</w:t>
      </w:r>
      <w:bookmarkStart w:id="1" w:name="cl_c_6"/>
      <w:bookmarkEnd w:id="1"/>
      <w:r w:rsidRPr="00626959">
        <w:rPr>
          <w:rFonts w:ascii="Futura" w:eastAsia="Calibri" w:hAnsi="Futura" w:cs="Calibri"/>
          <w:color w:val="000000"/>
          <w:sz w:val="20"/>
          <w:szCs w:val="20"/>
          <w:lang w:bidi="en-US"/>
        </w:rPr>
        <w:t>:</w:t>
      </w:r>
    </w:p>
    <w:p w14:paraId="69777838" w14:textId="25A6D5E0" w:rsidR="00626959" w:rsidRPr="00626959" w:rsidRDefault="00626959" w:rsidP="009B60D0">
      <w:pPr>
        <w:numPr>
          <w:ilvl w:val="1"/>
          <w:numId w:val="37"/>
        </w:numPr>
        <w:spacing w:after="0" w:line="240" w:lineRule="auto"/>
        <w:jc w:val="both"/>
        <w:rPr>
          <w:rFonts w:ascii="Futura" w:eastAsia="Calibri" w:hAnsi="Futura" w:cs="Calibri"/>
          <w:color w:val="000000"/>
          <w:sz w:val="20"/>
          <w:szCs w:val="20"/>
          <w:lang w:bidi="en-US"/>
        </w:rPr>
      </w:pPr>
      <w:r w:rsidRPr="00626959">
        <w:rPr>
          <w:rFonts w:ascii="Futura" w:eastAsia="Calibri" w:hAnsi="Futura" w:cs="Calibri"/>
          <w:color w:val="000000"/>
          <w:sz w:val="20"/>
          <w:szCs w:val="20"/>
          <w:lang w:bidi="en-US"/>
        </w:rPr>
        <w:t>Age 18 years or older</w:t>
      </w:r>
      <w:bookmarkStart w:id="2" w:name="cl_c_20"/>
      <w:bookmarkEnd w:id="2"/>
    </w:p>
    <w:p w14:paraId="274BE5B2" w14:textId="166C6144" w:rsidR="00626959" w:rsidRPr="00626959" w:rsidRDefault="00626959" w:rsidP="009B60D0">
      <w:pPr>
        <w:numPr>
          <w:ilvl w:val="1"/>
          <w:numId w:val="37"/>
        </w:numPr>
        <w:spacing w:after="0" w:line="240" w:lineRule="auto"/>
        <w:jc w:val="both"/>
        <w:rPr>
          <w:rFonts w:ascii="Futura" w:eastAsia="Calibri" w:hAnsi="Futura" w:cs="Calibri"/>
          <w:color w:val="000000"/>
          <w:sz w:val="20"/>
          <w:szCs w:val="20"/>
          <w:lang w:bidi="en-US"/>
        </w:rPr>
      </w:pPr>
      <w:r w:rsidRPr="00626959">
        <w:rPr>
          <w:rFonts w:ascii="Futura" w:eastAsia="Calibri" w:hAnsi="Futura" w:cs="Calibri"/>
          <w:color w:val="000000"/>
          <w:sz w:val="20"/>
          <w:szCs w:val="20"/>
          <w:lang w:bidi="en-US"/>
        </w:rPr>
        <w:t>Asthma with eosinophilic phenotype, as determined by blood eosinophil count of 400 eosinophils per mm</w:t>
      </w:r>
      <w:r w:rsidRPr="00626959">
        <w:rPr>
          <w:rFonts w:ascii="Futura" w:eastAsia="Calibri" w:hAnsi="Futura" w:cs="Calibri"/>
          <w:color w:val="000000"/>
          <w:sz w:val="20"/>
          <w:szCs w:val="20"/>
          <w:vertAlign w:val="superscript"/>
          <w:lang w:bidi="en-US"/>
        </w:rPr>
        <w:t>3</w:t>
      </w:r>
      <w:r w:rsidRPr="00626959">
        <w:rPr>
          <w:rFonts w:ascii="Futura" w:eastAsia="Calibri" w:hAnsi="Futura" w:cs="Calibri"/>
          <w:color w:val="000000"/>
          <w:sz w:val="20"/>
          <w:szCs w:val="20"/>
          <w:lang w:bidi="en-US"/>
        </w:rPr>
        <w:t> (0.4 x10</w:t>
      </w:r>
      <w:r w:rsidRPr="00626959">
        <w:rPr>
          <w:rFonts w:ascii="Futura" w:eastAsia="Calibri" w:hAnsi="Futura" w:cs="Calibri"/>
          <w:color w:val="000000"/>
          <w:sz w:val="20"/>
          <w:szCs w:val="20"/>
          <w:vertAlign w:val="superscript"/>
          <w:lang w:bidi="en-US"/>
        </w:rPr>
        <w:t>9</w:t>
      </w:r>
      <w:r w:rsidRPr="00626959">
        <w:rPr>
          <w:rFonts w:ascii="Futura" w:eastAsia="Calibri" w:hAnsi="Futura" w:cs="Calibri"/>
          <w:color w:val="000000"/>
          <w:sz w:val="20"/>
          <w:szCs w:val="20"/>
          <w:lang w:bidi="en-US"/>
        </w:rPr>
        <w:t>/L) or greater</w:t>
      </w:r>
    </w:p>
    <w:p w14:paraId="25B79FFA" w14:textId="159C8A2F" w:rsidR="00626959" w:rsidRPr="00626959" w:rsidRDefault="00626959" w:rsidP="009B60D0">
      <w:pPr>
        <w:numPr>
          <w:ilvl w:val="1"/>
          <w:numId w:val="37"/>
        </w:numPr>
        <w:spacing w:after="0" w:line="240" w:lineRule="auto"/>
        <w:jc w:val="both"/>
        <w:rPr>
          <w:rFonts w:ascii="Futura" w:eastAsia="Calibri" w:hAnsi="Futura" w:cs="Calibri"/>
          <w:color w:val="000000"/>
          <w:sz w:val="20"/>
          <w:szCs w:val="20"/>
          <w:lang w:bidi="en-US"/>
        </w:rPr>
      </w:pPr>
      <w:r w:rsidRPr="00626959">
        <w:rPr>
          <w:rFonts w:ascii="Futura" w:eastAsia="Calibri" w:hAnsi="Futura" w:cs="Calibri"/>
          <w:color w:val="000000"/>
          <w:sz w:val="20"/>
          <w:szCs w:val="20"/>
          <w:lang w:bidi="en-US"/>
        </w:rPr>
        <w:t>Need for treatment escalation, severe asthma, as indicated by </w:t>
      </w:r>
      <w:r w:rsidRPr="00626959">
        <w:rPr>
          <w:rFonts w:ascii="Futura" w:eastAsia="Calibri" w:hAnsi="Futura" w:cs="Calibri"/>
          <w:b/>
          <w:bCs/>
          <w:color w:val="000000"/>
          <w:sz w:val="20"/>
          <w:szCs w:val="20"/>
          <w:lang w:bidi="en-US"/>
        </w:rPr>
        <w:t>1 or more</w:t>
      </w:r>
      <w:r w:rsidRPr="00626959">
        <w:rPr>
          <w:rFonts w:ascii="Futura" w:eastAsia="Calibri" w:hAnsi="Futura" w:cs="Calibri"/>
          <w:color w:val="000000"/>
          <w:sz w:val="20"/>
          <w:szCs w:val="20"/>
          <w:lang w:bidi="en-US"/>
        </w:rPr>
        <w:t> of the following</w:t>
      </w:r>
      <w:bookmarkStart w:id="3" w:name="cl_c_29"/>
      <w:bookmarkStart w:id="4" w:name="cl_c_30"/>
      <w:bookmarkStart w:id="5" w:name="cl_c_28"/>
      <w:bookmarkStart w:id="6" w:name="cl_c_31"/>
      <w:bookmarkStart w:id="7" w:name="cl_c_32"/>
      <w:bookmarkEnd w:id="3"/>
      <w:bookmarkEnd w:id="4"/>
      <w:bookmarkEnd w:id="5"/>
      <w:bookmarkEnd w:id="6"/>
      <w:bookmarkEnd w:id="7"/>
      <w:r w:rsidRPr="00626959">
        <w:rPr>
          <w:rFonts w:ascii="Futura" w:eastAsia="Calibri" w:hAnsi="Futura" w:cs="Calibri"/>
          <w:color w:val="000000"/>
          <w:sz w:val="20"/>
          <w:szCs w:val="20"/>
          <w:lang w:bidi="en-US"/>
        </w:rPr>
        <w:t>:</w:t>
      </w:r>
    </w:p>
    <w:p w14:paraId="10810A26" w14:textId="69E5A1AF" w:rsidR="00626959" w:rsidRPr="00626959" w:rsidRDefault="00626959" w:rsidP="009B60D0">
      <w:pPr>
        <w:numPr>
          <w:ilvl w:val="2"/>
          <w:numId w:val="37"/>
        </w:numPr>
        <w:spacing w:after="0" w:line="240" w:lineRule="auto"/>
        <w:jc w:val="both"/>
        <w:rPr>
          <w:rFonts w:ascii="Futura" w:eastAsia="Calibri" w:hAnsi="Futura" w:cs="Calibri"/>
          <w:color w:val="000000"/>
          <w:sz w:val="20"/>
          <w:szCs w:val="20"/>
          <w:lang w:bidi="en-US"/>
        </w:rPr>
      </w:pPr>
      <w:r w:rsidRPr="00626959">
        <w:rPr>
          <w:rFonts w:ascii="Futura" w:eastAsia="Calibri" w:hAnsi="Futura" w:cs="Calibri"/>
          <w:color w:val="000000"/>
          <w:sz w:val="20"/>
          <w:szCs w:val="20"/>
          <w:lang w:bidi="en-US"/>
        </w:rPr>
        <w:t>Remains uncontrolled despite treatment with high-dose inhaled corticosteroids plus second controller (</w:t>
      </w:r>
      <w:r w:rsidR="00083349" w:rsidRPr="00626959">
        <w:rPr>
          <w:rFonts w:ascii="Futura" w:eastAsia="Calibri" w:hAnsi="Futura" w:cs="Calibri"/>
          <w:color w:val="000000"/>
          <w:sz w:val="20"/>
          <w:szCs w:val="20"/>
          <w:lang w:bidi="en-US"/>
        </w:rPr>
        <w:t>e.g.</w:t>
      </w:r>
      <w:r w:rsidRPr="00626959">
        <w:rPr>
          <w:rFonts w:ascii="Futura" w:eastAsia="Calibri" w:hAnsi="Futura" w:cs="Calibri"/>
          <w:color w:val="000000"/>
          <w:sz w:val="20"/>
          <w:szCs w:val="20"/>
          <w:lang w:bidi="en-US"/>
        </w:rPr>
        <w:t>, long-acting beta-agonist, leukotriene modifier, long-acting muscarinic antagonist, oral corticosteroids)</w:t>
      </w:r>
    </w:p>
    <w:p w14:paraId="416EFC7E" w14:textId="4BF8E086" w:rsidR="00626959" w:rsidRPr="00626959" w:rsidRDefault="00626959" w:rsidP="009B60D0">
      <w:pPr>
        <w:numPr>
          <w:ilvl w:val="2"/>
          <w:numId w:val="37"/>
        </w:numPr>
        <w:spacing w:after="0" w:line="240" w:lineRule="auto"/>
        <w:jc w:val="both"/>
        <w:rPr>
          <w:rFonts w:ascii="Futura" w:eastAsia="Calibri" w:hAnsi="Futura" w:cs="Calibri"/>
          <w:color w:val="000000"/>
          <w:sz w:val="20"/>
          <w:szCs w:val="20"/>
          <w:lang w:bidi="en-US"/>
        </w:rPr>
      </w:pPr>
      <w:r w:rsidRPr="00626959">
        <w:rPr>
          <w:rFonts w:ascii="Futura" w:eastAsia="Calibri" w:hAnsi="Futura" w:cs="Calibri"/>
          <w:color w:val="000000"/>
          <w:sz w:val="20"/>
          <w:szCs w:val="20"/>
          <w:lang w:bidi="en-US"/>
        </w:rPr>
        <w:t>Requires maintenance treatment with high-dose inhaled corticosteroids plus second controller (</w:t>
      </w:r>
      <w:r w:rsidR="00083349" w:rsidRPr="00626959">
        <w:rPr>
          <w:rFonts w:ascii="Futura" w:eastAsia="Calibri" w:hAnsi="Futura" w:cs="Calibri"/>
          <w:color w:val="000000"/>
          <w:sz w:val="20"/>
          <w:szCs w:val="20"/>
          <w:lang w:bidi="en-US"/>
        </w:rPr>
        <w:t>e.g.</w:t>
      </w:r>
      <w:r w:rsidRPr="00626959">
        <w:rPr>
          <w:rFonts w:ascii="Futura" w:eastAsia="Calibri" w:hAnsi="Futura" w:cs="Calibri"/>
          <w:color w:val="000000"/>
          <w:sz w:val="20"/>
          <w:szCs w:val="20"/>
          <w:lang w:bidi="en-US"/>
        </w:rPr>
        <w:t>, long-acting beta-agonist, leukotriene modifier, long-acting muscarinic antagonist, oral corticosteroids) to remain in control</w:t>
      </w:r>
    </w:p>
    <w:p w14:paraId="59D93973" w14:textId="77777777" w:rsidR="00626959" w:rsidRPr="00626959" w:rsidRDefault="00626959" w:rsidP="009B60D0">
      <w:pPr>
        <w:numPr>
          <w:ilvl w:val="1"/>
          <w:numId w:val="37"/>
        </w:numPr>
        <w:spacing w:after="0" w:line="240" w:lineRule="auto"/>
        <w:jc w:val="both"/>
        <w:rPr>
          <w:rFonts w:ascii="Futura" w:eastAsia="Calibri" w:hAnsi="Futura" w:cs="Calibri"/>
          <w:color w:val="000000"/>
          <w:sz w:val="20"/>
          <w:szCs w:val="20"/>
          <w:lang w:bidi="en-US"/>
        </w:rPr>
      </w:pPr>
      <w:r w:rsidRPr="00626959">
        <w:rPr>
          <w:rFonts w:ascii="Futura" w:eastAsia="Calibri" w:hAnsi="Futura" w:cs="Calibri"/>
          <w:color w:val="000000"/>
          <w:sz w:val="20"/>
          <w:szCs w:val="20"/>
          <w:lang w:bidi="en-US"/>
        </w:rPr>
        <w:t>Reslizumab not being used as monotherapy for asthma</w:t>
      </w:r>
    </w:p>
    <w:p w14:paraId="7D7DDC25" w14:textId="77777777" w:rsidR="00626959" w:rsidRPr="00626959" w:rsidRDefault="00626959" w:rsidP="009B60D0">
      <w:pPr>
        <w:numPr>
          <w:ilvl w:val="1"/>
          <w:numId w:val="37"/>
        </w:numPr>
        <w:spacing w:after="0" w:line="240" w:lineRule="auto"/>
        <w:jc w:val="both"/>
        <w:rPr>
          <w:rFonts w:ascii="Futura" w:eastAsia="Calibri" w:hAnsi="Futura" w:cs="Calibri"/>
          <w:color w:val="000000"/>
          <w:sz w:val="20"/>
          <w:szCs w:val="20"/>
          <w:lang w:bidi="en-US"/>
        </w:rPr>
      </w:pPr>
      <w:r w:rsidRPr="00626959">
        <w:rPr>
          <w:rFonts w:ascii="Futura" w:eastAsia="Calibri" w:hAnsi="Futura" w:cs="Calibri"/>
          <w:color w:val="000000"/>
          <w:sz w:val="20"/>
          <w:szCs w:val="20"/>
          <w:lang w:bidi="en-US"/>
        </w:rPr>
        <w:t>No active parasitic infection</w:t>
      </w:r>
    </w:p>
    <w:p w14:paraId="5B0E0522" w14:textId="77777777" w:rsidR="00626959" w:rsidRDefault="00626959" w:rsidP="00554794">
      <w:pPr>
        <w:spacing w:after="0" w:line="240" w:lineRule="auto"/>
        <w:jc w:val="both"/>
        <w:rPr>
          <w:rFonts w:ascii="Futura" w:eastAsia="Calibri" w:hAnsi="Futura" w:cs="Calibri"/>
          <w:color w:val="000000"/>
          <w:sz w:val="20"/>
          <w:szCs w:val="20"/>
          <w:lang w:bidi="en-US"/>
        </w:rPr>
      </w:pPr>
    </w:p>
    <w:p w14:paraId="407BDCC5" w14:textId="77777777" w:rsidR="00C843B0" w:rsidRDefault="00C843B0" w:rsidP="00554794">
      <w:pPr>
        <w:spacing w:after="0" w:line="240" w:lineRule="auto"/>
        <w:jc w:val="both"/>
        <w:rPr>
          <w:rFonts w:ascii="Futura" w:eastAsia="Calibri" w:hAnsi="Futura" w:cs="Calibri"/>
          <w:color w:val="000000"/>
          <w:sz w:val="20"/>
          <w:szCs w:val="20"/>
          <w:lang w:bidi="en-US"/>
        </w:rPr>
      </w:pPr>
    </w:p>
    <w:p w14:paraId="02863A0E" w14:textId="77777777" w:rsidR="00AA032F" w:rsidRDefault="00A20A50" w:rsidP="00554794">
      <w:pPr>
        <w:spacing w:after="0" w:line="240" w:lineRule="auto"/>
        <w:jc w:val="both"/>
        <w:rPr>
          <w:rFonts w:ascii="Futura" w:eastAsia="Calibri" w:hAnsi="Futura" w:cs="Calibri"/>
          <w:color w:val="000000"/>
          <w:sz w:val="20"/>
          <w:szCs w:val="20"/>
          <w:lang w:bidi="en-US"/>
        </w:rPr>
      </w:pPr>
      <w:r w:rsidRPr="00AA032F">
        <w:rPr>
          <w:rFonts w:ascii="Futura" w:eastAsia="Calibri" w:hAnsi="Futura" w:cs="Calibri"/>
          <w:b/>
          <w:bCs/>
          <w:color w:val="000000"/>
          <w:sz w:val="28"/>
          <w:szCs w:val="28"/>
          <w:lang w:bidi="en-US"/>
        </w:rPr>
        <w:t>FASENRA</w:t>
      </w:r>
      <w:r w:rsidRPr="00A20A50">
        <w:rPr>
          <w:rFonts w:ascii="Futura" w:eastAsia="Calibri" w:hAnsi="Futura" w:cs="Calibri"/>
          <w:color w:val="000000"/>
          <w:sz w:val="20"/>
          <w:szCs w:val="20"/>
          <w:lang w:bidi="en-US"/>
        </w:rPr>
        <w:t xml:space="preserve"> is an interleukin-5 receptor alpha-directed cytolytic monoclonal antibody (IgG1, kappa) indicated for: </w:t>
      </w:r>
    </w:p>
    <w:p w14:paraId="221546BC" w14:textId="77777777" w:rsidR="00AA032F"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t>• add-on maintenance treatment of adult and pediatric patients aged 6 years and older with severe asthma, and with an eosinophilic phenotype.</w:t>
      </w:r>
    </w:p>
    <w:p w14:paraId="4AEED4E4" w14:textId="77777777" w:rsidR="00AA032F"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t>• treatment of adult patients with eosinophilic granulomatosis with polyangiitis (EGPA).</w:t>
      </w:r>
    </w:p>
    <w:p w14:paraId="4BD822E7" w14:textId="77777777" w:rsidR="00AA032F" w:rsidRDefault="00AA032F" w:rsidP="00554794">
      <w:pPr>
        <w:spacing w:after="0" w:line="240" w:lineRule="auto"/>
        <w:jc w:val="both"/>
        <w:rPr>
          <w:rFonts w:ascii="Futura" w:eastAsia="Calibri" w:hAnsi="Futura" w:cs="Calibri"/>
          <w:color w:val="000000"/>
          <w:sz w:val="20"/>
          <w:szCs w:val="20"/>
          <w:lang w:bidi="en-US"/>
        </w:rPr>
      </w:pPr>
    </w:p>
    <w:p w14:paraId="2A68C34A" w14:textId="77777777" w:rsidR="00AA032F"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t>Limitations of Use: Not for relief of acute bronchospasm or status asthmaticus.</w:t>
      </w:r>
    </w:p>
    <w:p w14:paraId="1E295E9E" w14:textId="77777777" w:rsidR="00AA032F" w:rsidRDefault="00AA032F" w:rsidP="00554794">
      <w:pPr>
        <w:spacing w:after="0" w:line="240" w:lineRule="auto"/>
        <w:jc w:val="both"/>
        <w:rPr>
          <w:rFonts w:ascii="Futura" w:eastAsia="Calibri" w:hAnsi="Futura" w:cs="Calibri"/>
          <w:color w:val="000000"/>
          <w:sz w:val="20"/>
          <w:szCs w:val="20"/>
          <w:lang w:bidi="en-US"/>
        </w:rPr>
      </w:pPr>
    </w:p>
    <w:p w14:paraId="40A1CA80" w14:textId="77777777" w:rsidR="00AA032F"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t xml:space="preserve">DOSAGE AND ADMINISTRATION </w:t>
      </w:r>
    </w:p>
    <w:p w14:paraId="542AC5B7" w14:textId="77777777" w:rsidR="00AA032F"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lastRenderedPageBreak/>
        <w:t>Administer by subcutaneous injection. Asthma Adult and Adolescent Patients 12 Years of Age and Older:</w:t>
      </w:r>
    </w:p>
    <w:p w14:paraId="6D99034C" w14:textId="77777777" w:rsidR="00D35343"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t xml:space="preserve">• Recommended dosage is 30 mg every 4 weeks for first 3 doses followed by once every 8 weeks thereafter. </w:t>
      </w:r>
    </w:p>
    <w:p w14:paraId="53310E04" w14:textId="77777777" w:rsidR="00D35343"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t xml:space="preserve">Pediatric Patients 6 Years to 11 Years of Age: </w:t>
      </w:r>
    </w:p>
    <w:p w14:paraId="52C8AECA" w14:textId="67CD1BB6" w:rsidR="00D35343"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t xml:space="preserve">• Weighing Less Than 35 kg: the recommended dosage is 10 mg every 4 weeks for </w:t>
      </w:r>
      <w:r w:rsidR="00D35343" w:rsidRPr="00A20A50">
        <w:rPr>
          <w:rFonts w:ascii="Futura" w:eastAsia="Calibri" w:hAnsi="Futura" w:cs="Calibri"/>
          <w:color w:val="000000"/>
          <w:sz w:val="20"/>
          <w:szCs w:val="20"/>
          <w:lang w:bidi="en-US"/>
        </w:rPr>
        <w:t>the first</w:t>
      </w:r>
      <w:r w:rsidRPr="00A20A50">
        <w:rPr>
          <w:rFonts w:ascii="Futura" w:eastAsia="Calibri" w:hAnsi="Futura" w:cs="Calibri"/>
          <w:color w:val="000000"/>
          <w:sz w:val="20"/>
          <w:szCs w:val="20"/>
          <w:lang w:bidi="en-US"/>
        </w:rPr>
        <w:t xml:space="preserve"> 3 doses followed by once every 8 weeks thereafter. </w:t>
      </w:r>
    </w:p>
    <w:p w14:paraId="7C1B315F" w14:textId="49E26B97" w:rsidR="00C843B0" w:rsidRDefault="00A20A50" w:rsidP="00554794">
      <w:pPr>
        <w:spacing w:after="0" w:line="240" w:lineRule="auto"/>
        <w:jc w:val="both"/>
        <w:rPr>
          <w:rFonts w:ascii="Futura" w:eastAsia="Calibri" w:hAnsi="Futura" w:cs="Calibri"/>
          <w:color w:val="000000"/>
          <w:sz w:val="20"/>
          <w:szCs w:val="20"/>
          <w:lang w:bidi="en-US"/>
        </w:rPr>
      </w:pPr>
      <w:r w:rsidRPr="00A20A50">
        <w:rPr>
          <w:rFonts w:ascii="Futura" w:eastAsia="Calibri" w:hAnsi="Futura" w:cs="Calibri"/>
          <w:color w:val="000000"/>
          <w:sz w:val="20"/>
          <w:szCs w:val="20"/>
          <w:lang w:bidi="en-US"/>
        </w:rPr>
        <w:t xml:space="preserve">• Weighing 35 kg or More: the recommended dosage is 30 mg every 4 weeks for </w:t>
      </w:r>
      <w:r w:rsidR="00D35343" w:rsidRPr="00A20A50">
        <w:rPr>
          <w:rFonts w:ascii="Futura" w:eastAsia="Calibri" w:hAnsi="Futura" w:cs="Calibri"/>
          <w:color w:val="000000"/>
          <w:sz w:val="20"/>
          <w:szCs w:val="20"/>
          <w:lang w:bidi="en-US"/>
        </w:rPr>
        <w:t>the first</w:t>
      </w:r>
      <w:r w:rsidRPr="00A20A50">
        <w:rPr>
          <w:rFonts w:ascii="Futura" w:eastAsia="Calibri" w:hAnsi="Futura" w:cs="Calibri"/>
          <w:color w:val="000000"/>
          <w:sz w:val="20"/>
          <w:szCs w:val="20"/>
          <w:lang w:bidi="en-US"/>
        </w:rPr>
        <w:t xml:space="preserve"> 3 doses followed by once every 8 weeks thereafter. EGPA Recommended dosage is 30 mg every 4 weeks.  See full prescribing information for administration instructions of FASENRA prefilled syringe and FASENRA PEN.</w:t>
      </w:r>
    </w:p>
    <w:p w14:paraId="16EB2660" w14:textId="77777777" w:rsidR="00E74086" w:rsidRDefault="00E74086" w:rsidP="00554794">
      <w:pPr>
        <w:spacing w:after="0" w:line="240" w:lineRule="auto"/>
        <w:jc w:val="both"/>
        <w:rPr>
          <w:rFonts w:ascii="Futura" w:eastAsia="Calibri" w:hAnsi="Futura" w:cs="Calibri"/>
          <w:color w:val="000000"/>
          <w:sz w:val="20"/>
          <w:szCs w:val="20"/>
          <w:lang w:bidi="en-US"/>
        </w:rPr>
      </w:pPr>
    </w:p>
    <w:p w14:paraId="05A0EFC1" w14:textId="3D647966" w:rsidR="009B60D0" w:rsidRPr="009B60D0" w:rsidRDefault="009B60D0" w:rsidP="009B60D0">
      <w:pPr>
        <w:numPr>
          <w:ilvl w:val="0"/>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Benralizumab may be indicated when </w:t>
      </w:r>
      <w:r w:rsidR="00D35343" w:rsidRPr="009B60D0">
        <w:rPr>
          <w:rFonts w:ascii="Futura" w:eastAsia="Calibri" w:hAnsi="Futura" w:cs="Calibri"/>
          <w:b/>
          <w:bCs/>
          <w:color w:val="000000"/>
          <w:sz w:val="20"/>
          <w:szCs w:val="20"/>
          <w:lang w:bidi="en-US"/>
        </w:rPr>
        <w:t>ALL</w:t>
      </w:r>
      <w:r w:rsidRPr="009B60D0">
        <w:rPr>
          <w:rFonts w:ascii="Futura" w:eastAsia="Calibri" w:hAnsi="Futura" w:cs="Calibri"/>
          <w:color w:val="000000"/>
          <w:sz w:val="20"/>
          <w:szCs w:val="20"/>
          <w:lang w:bidi="en-US"/>
        </w:rPr>
        <w:t xml:space="preserve"> the following are present:</w:t>
      </w:r>
    </w:p>
    <w:p w14:paraId="0A1A7C7C" w14:textId="77777777" w:rsidR="009B60D0" w:rsidRPr="009B60D0" w:rsidRDefault="009B60D0" w:rsidP="009B60D0">
      <w:pPr>
        <w:numPr>
          <w:ilvl w:val="1"/>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Age 12 years or older</w:t>
      </w:r>
    </w:p>
    <w:p w14:paraId="35264B75" w14:textId="4D4C3271" w:rsidR="009B60D0" w:rsidRPr="009B60D0" w:rsidRDefault="009B60D0" w:rsidP="009B60D0">
      <w:pPr>
        <w:numPr>
          <w:ilvl w:val="1"/>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Asthma with eosinophilic phenotype, as determined by blood eosinophil count of 150 eosinophils per mm</w:t>
      </w:r>
      <w:r w:rsidRPr="009B60D0">
        <w:rPr>
          <w:rFonts w:ascii="Futura" w:eastAsia="Calibri" w:hAnsi="Futura" w:cs="Calibri"/>
          <w:color w:val="000000"/>
          <w:sz w:val="20"/>
          <w:szCs w:val="20"/>
          <w:vertAlign w:val="superscript"/>
          <w:lang w:bidi="en-US"/>
        </w:rPr>
        <w:t>3</w:t>
      </w:r>
      <w:r w:rsidRPr="009B60D0">
        <w:rPr>
          <w:rFonts w:ascii="Futura" w:eastAsia="Calibri" w:hAnsi="Futura" w:cs="Calibri"/>
          <w:color w:val="000000"/>
          <w:sz w:val="20"/>
          <w:szCs w:val="20"/>
          <w:lang w:bidi="en-US"/>
        </w:rPr>
        <w:t> (0.15 x10</w:t>
      </w:r>
      <w:r w:rsidRPr="009B60D0">
        <w:rPr>
          <w:rFonts w:ascii="Futura" w:eastAsia="Calibri" w:hAnsi="Futura" w:cs="Calibri"/>
          <w:color w:val="000000"/>
          <w:sz w:val="20"/>
          <w:szCs w:val="20"/>
          <w:vertAlign w:val="superscript"/>
          <w:lang w:bidi="en-US"/>
        </w:rPr>
        <w:t>9</w:t>
      </w:r>
      <w:r w:rsidRPr="009B60D0">
        <w:rPr>
          <w:rFonts w:ascii="Futura" w:eastAsia="Calibri" w:hAnsi="Futura" w:cs="Calibri"/>
          <w:color w:val="000000"/>
          <w:sz w:val="20"/>
          <w:szCs w:val="20"/>
          <w:lang w:bidi="en-US"/>
        </w:rPr>
        <w:t>/L) or greater</w:t>
      </w:r>
    </w:p>
    <w:p w14:paraId="19299A01" w14:textId="77777777" w:rsidR="009B60D0" w:rsidRPr="009B60D0" w:rsidRDefault="009B60D0" w:rsidP="009B60D0">
      <w:pPr>
        <w:numPr>
          <w:ilvl w:val="1"/>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Benralizumab not being used as monotherapy for asthma</w:t>
      </w:r>
    </w:p>
    <w:p w14:paraId="6C05CB50" w14:textId="5A5F9381" w:rsidR="009B60D0" w:rsidRPr="009B60D0" w:rsidRDefault="009B60D0" w:rsidP="009B60D0">
      <w:pPr>
        <w:numPr>
          <w:ilvl w:val="1"/>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Need for treatment escalation, severe asthma, as indicated by </w:t>
      </w:r>
      <w:r w:rsidRPr="009B60D0">
        <w:rPr>
          <w:rFonts w:ascii="Futura" w:eastAsia="Calibri" w:hAnsi="Futura" w:cs="Calibri"/>
          <w:b/>
          <w:bCs/>
          <w:color w:val="000000"/>
          <w:sz w:val="20"/>
          <w:szCs w:val="20"/>
          <w:lang w:bidi="en-US"/>
        </w:rPr>
        <w:t>1 or more</w:t>
      </w:r>
      <w:r w:rsidRPr="009B60D0">
        <w:rPr>
          <w:rFonts w:ascii="Futura" w:eastAsia="Calibri" w:hAnsi="Futura" w:cs="Calibri"/>
          <w:color w:val="000000"/>
          <w:sz w:val="20"/>
          <w:szCs w:val="20"/>
          <w:lang w:bidi="en-US"/>
        </w:rPr>
        <w:t> of the following:</w:t>
      </w:r>
    </w:p>
    <w:p w14:paraId="3555A9AF" w14:textId="2DEC8A9B" w:rsidR="009B60D0" w:rsidRPr="009B60D0" w:rsidRDefault="009B60D0" w:rsidP="009B60D0">
      <w:pPr>
        <w:numPr>
          <w:ilvl w:val="2"/>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Remains uncontrolled despite treatment with high-dose inhaled corticosteroids plus second controller (</w:t>
      </w:r>
      <w:r w:rsidR="00D35343" w:rsidRPr="009B60D0">
        <w:rPr>
          <w:rFonts w:ascii="Futura" w:eastAsia="Calibri" w:hAnsi="Futura" w:cs="Calibri"/>
          <w:color w:val="000000"/>
          <w:sz w:val="20"/>
          <w:szCs w:val="20"/>
          <w:lang w:bidi="en-US"/>
        </w:rPr>
        <w:t>e.g.</w:t>
      </w:r>
      <w:r w:rsidRPr="009B60D0">
        <w:rPr>
          <w:rFonts w:ascii="Futura" w:eastAsia="Calibri" w:hAnsi="Futura" w:cs="Calibri"/>
          <w:color w:val="000000"/>
          <w:sz w:val="20"/>
          <w:szCs w:val="20"/>
          <w:lang w:bidi="en-US"/>
        </w:rPr>
        <w:t>, long-acting beta-agonist, leukotriene modifier, long-acting muscarinic antagonist, oral corticosteroids)</w:t>
      </w:r>
    </w:p>
    <w:p w14:paraId="325B6E86" w14:textId="194B635B" w:rsidR="009B60D0" w:rsidRPr="009B60D0" w:rsidRDefault="009B60D0" w:rsidP="009B60D0">
      <w:pPr>
        <w:numPr>
          <w:ilvl w:val="2"/>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Requires maintenance treatment with high-dose inhaled corticosteroids plus second controller (</w:t>
      </w:r>
      <w:r w:rsidR="00D35343" w:rsidRPr="009B60D0">
        <w:rPr>
          <w:rFonts w:ascii="Futura" w:eastAsia="Calibri" w:hAnsi="Futura" w:cs="Calibri"/>
          <w:color w:val="000000"/>
          <w:sz w:val="20"/>
          <w:szCs w:val="20"/>
          <w:lang w:bidi="en-US"/>
        </w:rPr>
        <w:t>e.g.</w:t>
      </w:r>
      <w:r w:rsidRPr="009B60D0">
        <w:rPr>
          <w:rFonts w:ascii="Futura" w:eastAsia="Calibri" w:hAnsi="Futura" w:cs="Calibri"/>
          <w:color w:val="000000"/>
          <w:sz w:val="20"/>
          <w:szCs w:val="20"/>
          <w:lang w:bidi="en-US"/>
        </w:rPr>
        <w:t>, long-acting beta-agonist, leukotriene modifier, long-acting muscarinic antagonist, oral corticosteroids) to remain in control</w:t>
      </w:r>
    </w:p>
    <w:p w14:paraId="78ABDD3F" w14:textId="77777777" w:rsidR="009B60D0" w:rsidRPr="009B60D0" w:rsidRDefault="009B60D0" w:rsidP="009B60D0">
      <w:pPr>
        <w:numPr>
          <w:ilvl w:val="1"/>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Patient not breast-feeding</w:t>
      </w:r>
    </w:p>
    <w:p w14:paraId="7453C088" w14:textId="2EDFFDCB" w:rsidR="009B60D0" w:rsidRPr="009B60D0" w:rsidRDefault="009B60D0" w:rsidP="009B60D0">
      <w:pPr>
        <w:numPr>
          <w:ilvl w:val="1"/>
          <w:numId w:val="38"/>
        </w:numPr>
        <w:spacing w:after="0" w:line="240" w:lineRule="auto"/>
        <w:jc w:val="both"/>
        <w:rPr>
          <w:rFonts w:ascii="Futura" w:eastAsia="Calibri" w:hAnsi="Futura" w:cs="Calibri"/>
          <w:color w:val="000000"/>
          <w:sz w:val="20"/>
          <w:szCs w:val="20"/>
          <w:lang w:bidi="en-US"/>
        </w:rPr>
      </w:pPr>
      <w:r w:rsidRPr="009B60D0">
        <w:rPr>
          <w:rFonts w:ascii="Futura" w:eastAsia="Calibri" w:hAnsi="Futura" w:cs="Calibri"/>
          <w:color w:val="000000"/>
          <w:sz w:val="20"/>
          <w:szCs w:val="20"/>
          <w:lang w:bidi="en-US"/>
        </w:rPr>
        <w:t xml:space="preserve">Patient </w:t>
      </w:r>
      <w:r w:rsidR="00583AFA">
        <w:rPr>
          <w:rFonts w:ascii="Futura" w:eastAsia="Calibri" w:hAnsi="Futura" w:cs="Calibri"/>
          <w:color w:val="000000"/>
          <w:sz w:val="20"/>
          <w:szCs w:val="20"/>
          <w:lang w:bidi="en-US"/>
        </w:rPr>
        <w:t xml:space="preserve">is </w:t>
      </w:r>
      <w:r w:rsidRPr="009B60D0">
        <w:rPr>
          <w:rFonts w:ascii="Futura" w:eastAsia="Calibri" w:hAnsi="Futura" w:cs="Calibri"/>
          <w:color w:val="000000"/>
          <w:sz w:val="20"/>
          <w:szCs w:val="20"/>
          <w:lang w:bidi="en-US"/>
        </w:rPr>
        <w:t>not pregnant</w:t>
      </w:r>
    </w:p>
    <w:p w14:paraId="6E233402" w14:textId="77777777" w:rsidR="00E74086" w:rsidRDefault="00E74086" w:rsidP="00554794">
      <w:pPr>
        <w:spacing w:after="0" w:line="240" w:lineRule="auto"/>
        <w:jc w:val="both"/>
        <w:rPr>
          <w:rFonts w:ascii="Futura" w:eastAsia="Calibri" w:hAnsi="Futura" w:cs="Calibri"/>
          <w:color w:val="000000"/>
          <w:sz w:val="20"/>
          <w:szCs w:val="20"/>
          <w:lang w:bidi="en-US"/>
        </w:rPr>
      </w:pPr>
    </w:p>
    <w:p w14:paraId="27D12AA2" w14:textId="77777777" w:rsidR="00A20A50" w:rsidRDefault="00A20A50" w:rsidP="00554794">
      <w:pPr>
        <w:spacing w:after="0" w:line="240" w:lineRule="auto"/>
        <w:jc w:val="both"/>
        <w:rPr>
          <w:rFonts w:ascii="Futura" w:eastAsia="Calibri" w:hAnsi="Futura" w:cs="Calibri"/>
          <w:color w:val="000000"/>
          <w:sz w:val="20"/>
          <w:szCs w:val="20"/>
          <w:lang w:bidi="en-US"/>
        </w:rPr>
      </w:pPr>
    </w:p>
    <w:p w14:paraId="0E4EF169" w14:textId="77777777" w:rsidR="00D35343" w:rsidRDefault="000006BB" w:rsidP="00554794">
      <w:pPr>
        <w:spacing w:after="0" w:line="240" w:lineRule="auto"/>
        <w:jc w:val="both"/>
        <w:rPr>
          <w:rFonts w:ascii="Futura" w:eastAsia="Calibri" w:hAnsi="Futura" w:cs="Calibri"/>
          <w:color w:val="000000"/>
          <w:sz w:val="20"/>
          <w:szCs w:val="20"/>
          <w:lang w:bidi="en-US"/>
        </w:rPr>
      </w:pPr>
      <w:r w:rsidRPr="00D35343">
        <w:rPr>
          <w:rFonts w:ascii="Futura" w:eastAsia="Calibri" w:hAnsi="Futura" w:cs="Calibri"/>
          <w:b/>
          <w:bCs/>
          <w:color w:val="000000"/>
          <w:sz w:val="28"/>
          <w:szCs w:val="28"/>
          <w:lang w:bidi="en-US"/>
        </w:rPr>
        <w:t>NUCALA</w:t>
      </w:r>
      <w:r w:rsidRPr="000006BB">
        <w:rPr>
          <w:rFonts w:ascii="Futura" w:eastAsia="Calibri" w:hAnsi="Futura" w:cs="Calibri"/>
          <w:color w:val="000000"/>
          <w:sz w:val="20"/>
          <w:szCs w:val="20"/>
          <w:lang w:bidi="en-US"/>
        </w:rPr>
        <w:t xml:space="preserve"> is an interleukin-5 (IL-5) antagonist monoclonal antibody (IgG1 kappa) indicated for: </w:t>
      </w:r>
    </w:p>
    <w:p w14:paraId="2C92B94B" w14:textId="77777777" w:rsidR="00D35343"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xml:space="preserve">• Add-on maintenance treatment of adult and pediatric patients aged 6 years and older with severe asthma and with an eosinophilic phenotype. </w:t>
      </w:r>
    </w:p>
    <w:p w14:paraId="136285D3" w14:textId="77777777" w:rsidR="00D35343"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xml:space="preserve">• Add-on maintenance treatment of adult patients 18 years and older with chronic rhinosinusitis with nasal polyps (CRSwNP). </w:t>
      </w:r>
    </w:p>
    <w:p w14:paraId="3D33A28D" w14:textId="4FE189BF" w:rsidR="00D35343"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The treatment of adult patients with eosinophilic granulomatosis with polyangiitis (EGPA).</w:t>
      </w:r>
    </w:p>
    <w:p w14:paraId="650F9BE1" w14:textId="77777777" w:rsidR="00D35343"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xml:space="preserve">• The treatment of adult and pediatric patients aged 12 years and older with hypereosinophilic syndrome (HES) for ≥6 months without an identifiable non-hematologic secondary cause. </w:t>
      </w:r>
    </w:p>
    <w:p w14:paraId="6D28A70D" w14:textId="77777777" w:rsidR="00D35343" w:rsidRDefault="00D35343" w:rsidP="00554794">
      <w:pPr>
        <w:spacing w:after="0" w:line="240" w:lineRule="auto"/>
        <w:jc w:val="both"/>
        <w:rPr>
          <w:rFonts w:ascii="Futura" w:eastAsia="Calibri" w:hAnsi="Futura" w:cs="Calibri"/>
          <w:color w:val="000000"/>
          <w:sz w:val="20"/>
          <w:szCs w:val="20"/>
          <w:lang w:bidi="en-US"/>
        </w:rPr>
      </w:pPr>
    </w:p>
    <w:p w14:paraId="13A3E048" w14:textId="77777777" w:rsidR="00D35343"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Limitations of use:</w:t>
      </w:r>
    </w:p>
    <w:p w14:paraId="2A2FED25" w14:textId="77777777" w:rsidR="0020138F"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xml:space="preserve">Not for relief of acute bronchospasm or status asthmaticus. </w:t>
      </w:r>
    </w:p>
    <w:p w14:paraId="7BC0F6FA" w14:textId="77777777" w:rsidR="0020138F" w:rsidRDefault="0020138F" w:rsidP="00554794">
      <w:pPr>
        <w:spacing w:after="0" w:line="240" w:lineRule="auto"/>
        <w:jc w:val="both"/>
        <w:rPr>
          <w:rFonts w:ascii="Futura" w:eastAsia="Calibri" w:hAnsi="Futura" w:cs="Calibri"/>
          <w:color w:val="000000"/>
          <w:sz w:val="20"/>
          <w:szCs w:val="20"/>
          <w:lang w:bidi="en-US"/>
        </w:rPr>
      </w:pPr>
    </w:p>
    <w:p w14:paraId="604F5A90" w14:textId="77777777" w:rsidR="0020138F"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DOSAGE AND ADMINISTRATION</w:t>
      </w:r>
    </w:p>
    <w:p w14:paraId="6B6FF1A9" w14:textId="77777777" w:rsidR="0020138F"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Severe asthma in patients aged 12 years and older: 100 mg administered subcutaneously once every 4 weeks.</w:t>
      </w:r>
    </w:p>
    <w:p w14:paraId="74D3CD48" w14:textId="77777777" w:rsidR="0020138F"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xml:space="preserve">• Severe asthma in patients aged 6 to 11 years: 40 mg administered subcutaneously once every 4 weeks. </w:t>
      </w:r>
    </w:p>
    <w:p w14:paraId="39C87615" w14:textId="77777777" w:rsidR="0020138F"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CRSwNP: 100 mg administered subcutaneously once every 4 weeks.</w:t>
      </w:r>
    </w:p>
    <w:p w14:paraId="77326650" w14:textId="77777777" w:rsidR="004961B0"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EGPA: 300 mg as 3 separate 100-mg injections administered subcutaneously once every 4 weeks.</w:t>
      </w:r>
    </w:p>
    <w:p w14:paraId="36F41694" w14:textId="77777777" w:rsidR="004961B0"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xml:space="preserve">• HES: 300 mg as 3 separate 100-mg injections administered subcutaneously once every 4 weeks. </w:t>
      </w:r>
    </w:p>
    <w:p w14:paraId="6D0A45A5" w14:textId="77777777" w:rsidR="004961B0" w:rsidRDefault="004961B0" w:rsidP="00554794">
      <w:pPr>
        <w:spacing w:after="0" w:line="240" w:lineRule="auto"/>
        <w:jc w:val="both"/>
        <w:rPr>
          <w:rFonts w:ascii="Futura" w:eastAsia="Calibri" w:hAnsi="Futura" w:cs="Calibri"/>
          <w:color w:val="000000"/>
          <w:sz w:val="20"/>
          <w:szCs w:val="20"/>
          <w:lang w:bidi="en-US"/>
        </w:rPr>
      </w:pPr>
    </w:p>
    <w:p w14:paraId="00EAA143" w14:textId="77777777" w:rsidR="004961B0"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DOSAGE FORMS AND STRENGTHS</w:t>
      </w:r>
    </w:p>
    <w:p w14:paraId="7515B5DE" w14:textId="77777777" w:rsidR="004961B0"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xml:space="preserve">• For injection: 100 mg of lyophilized powder in a single-dose vial for reconstitution. </w:t>
      </w:r>
    </w:p>
    <w:p w14:paraId="55425616" w14:textId="1E419443" w:rsidR="004961B0"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lastRenderedPageBreak/>
        <w:t>• Injection: 100 mg/mL, single-dose prefilled autoinjector or single-dose prefilled syringe.</w:t>
      </w:r>
    </w:p>
    <w:p w14:paraId="7D3BAD84" w14:textId="5CEEEE8C" w:rsidR="00A20A50" w:rsidRDefault="000006BB" w:rsidP="00554794">
      <w:pPr>
        <w:spacing w:after="0" w:line="240" w:lineRule="auto"/>
        <w:jc w:val="both"/>
        <w:rPr>
          <w:rFonts w:ascii="Futura" w:eastAsia="Calibri" w:hAnsi="Futura" w:cs="Calibri"/>
          <w:color w:val="000000"/>
          <w:sz w:val="20"/>
          <w:szCs w:val="20"/>
          <w:lang w:bidi="en-US"/>
        </w:rPr>
      </w:pPr>
      <w:r w:rsidRPr="000006BB">
        <w:rPr>
          <w:rFonts w:ascii="Futura" w:eastAsia="Calibri" w:hAnsi="Futura" w:cs="Calibri"/>
          <w:color w:val="000000"/>
          <w:sz w:val="20"/>
          <w:szCs w:val="20"/>
          <w:lang w:bidi="en-US"/>
        </w:rPr>
        <w:t>• Injection: 40 mg/0.4 mL, single-dose prefilled syringe.</w:t>
      </w:r>
    </w:p>
    <w:p w14:paraId="6DD8EEE1" w14:textId="77777777" w:rsidR="005C0B20" w:rsidRDefault="005C0B20" w:rsidP="00554794">
      <w:pPr>
        <w:spacing w:after="0" w:line="240" w:lineRule="auto"/>
        <w:jc w:val="both"/>
        <w:rPr>
          <w:rFonts w:ascii="Futura" w:eastAsia="Calibri" w:hAnsi="Futura" w:cs="Calibri"/>
          <w:color w:val="000000"/>
          <w:sz w:val="20"/>
          <w:szCs w:val="20"/>
          <w:lang w:bidi="en-US"/>
        </w:rPr>
      </w:pPr>
    </w:p>
    <w:p w14:paraId="112A5564" w14:textId="5ED2ED2D" w:rsidR="005C0B20" w:rsidRPr="005C0B20" w:rsidRDefault="005C0B20" w:rsidP="009B60D0">
      <w:pPr>
        <w:numPr>
          <w:ilvl w:val="0"/>
          <w:numId w:val="19"/>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Mepolizumab may be indicated when </w:t>
      </w:r>
      <w:r w:rsidR="004961B0" w:rsidRPr="005C0B20">
        <w:rPr>
          <w:rFonts w:ascii="Futura" w:eastAsia="Calibri" w:hAnsi="Futura" w:cs="Calibri"/>
          <w:b/>
          <w:bCs/>
          <w:color w:val="000000"/>
          <w:sz w:val="20"/>
          <w:szCs w:val="20"/>
          <w:lang w:bidi="en-US"/>
        </w:rPr>
        <w:t>ALL</w:t>
      </w:r>
      <w:r w:rsidRPr="005C0B20">
        <w:rPr>
          <w:rFonts w:ascii="Futura" w:eastAsia="Calibri" w:hAnsi="Futura" w:cs="Calibri"/>
          <w:color w:val="000000"/>
          <w:sz w:val="20"/>
          <w:szCs w:val="20"/>
          <w:lang w:bidi="en-US"/>
        </w:rPr>
        <w:t xml:space="preserve"> the following are present</w:t>
      </w:r>
      <w:bookmarkStart w:id="8" w:name="cl_c_2"/>
      <w:bookmarkStart w:id="9" w:name="cl_c_3"/>
      <w:bookmarkStart w:id="10" w:name="cl_c_4"/>
      <w:bookmarkStart w:id="11" w:name="cl_c_5"/>
      <w:bookmarkEnd w:id="8"/>
      <w:bookmarkEnd w:id="9"/>
      <w:bookmarkEnd w:id="10"/>
      <w:bookmarkEnd w:id="11"/>
      <w:r w:rsidRPr="005C0B20">
        <w:rPr>
          <w:rFonts w:ascii="Futura" w:eastAsia="Calibri" w:hAnsi="Futura" w:cs="Calibri"/>
          <w:color w:val="000000"/>
          <w:sz w:val="20"/>
          <w:szCs w:val="20"/>
          <w:lang w:bidi="en-US"/>
        </w:rPr>
        <w:t>:</w:t>
      </w:r>
    </w:p>
    <w:p w14:paraId="201A9993" w14:textId="77777777" w:rsidR="005C0B20" w:rsidRPr="005C0B20" w:rsidRDefault="005C0B20" w:rsidP="009B60D0">
      <w:pPr>
        <w:numPr>
          <w:ilvl w:val="1"/>
          <w:numId w:val="19"/>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Appropriate clinical condition, as indicated by </w:t>
      </w:r>
      <w:r w:rsidRPr="005C0B20">
        <w:rPr>
          <w:rFonts w:ascii="Futura" w:eastAsia="Calibri" w:hAnsi="Futura" w:cs="Calibri"/>
          <w:b/>
          <w:bCs/>
          <w:color w:val="000000"/>
          <w:sz w:val="20"/>
          <w:szCs w:val="20"/>
          <w:lang w:bidi="en-US"/>
        </w:rPr>
        <w:t>1 or more</w:t>
      </w:r>
      <w:r w:rsidRPr="005C0B20">
        <w:rPr>
          <w:rFonts w:ascii="Futura" w:eastAsia="Calibri" w:hAnsi="Futura" w:cs="Calibri"/>
          <w:color w:val="000000"/>
          <w:sz w:val="20"/>
          <w:szCs w:val="20"/>
          <w:lang w:bidi="en-US"/>
        </w:rPr>
        <w:t> of the following:</w:t>
      </w:r>
    </w:p>
    <w:p w14:paraId="37826861" w14:textId="5990CD86" w:rsidR="005C0B20" w:rsidRPr="005C0B20" w:rsidRDefault="005C0B20" w:rsidP="009B60D0">
      <w:pPr>
        <w:numPr>
          <w:ilvl w:val="2"/>
          <w:numId w:val="19"/>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Asthma with eosinophilic phenotype, as determined by blood eosinophil count of 300 eosinophils per mm</w:t>
      </w:r>
      <w:r w:rsidRPr="005C0B20">
        <w:rPr>
          <w:rFonts w:ascii="Futura" w:eastAsia="Calibri" w:hAnsi="Futura" w:cs="Calibri"/>
          <w:color w:val="000000"/>
          <w:sz w:val="20"/>
          <w:szCs w:val="20"/>
          <w:vertAlign w:val="superscript"/>
          <w:lang w:bidi="en-US"/>
        </w:rPr>
        <w:t>3</w:t>
      </w:r>
      <w:r w:rsidRPr="005C0B20">
        <w:rPr>
          <w:rFonts w:ascii="Futura" w:eastAsia="Calibri" w:hAnsi="Futura" w:cs="Calibri"/>
          <w:color w:val="000000"/>
          <w:sz w:val="20"/>
          <w:szCs w:val="20"/>
          <w:lang w:bidi="en-US"/>
        </w:rPr>
        <w:t> (0.3 x10</w:t>
      </w:r>
      <w:r w:rsidRPr="005C0B20">
        <w:rPr>
          <w:rFonts w:ascii="Futura" w:eastAsia="Calibri" w:hAnsi="Futura" w:cs="Calibri"/>
          <w:color w:val="000000"/>
          <w:sz w:val="20"/>
          <w:szCs w:val="20"/>
          <w:vertAlign w:val="superscript"/>
          <w:lang w:bidi="en-US"/>
        </w:rPr>
        <w:t>9</w:t>
      </w:r>
      <w:r w:rsidRPr="005C0B20">
        <w:rPr>
          <w:rFonts w:ascii="Futura" w:eastAsia="Calibri" w:hAnsi="Futura" w:cs="Calibri"/>
          <w:color w:val="000000"/>
          <w:sz w:val="20"/>
          <w:szCs w:val="20"/>
          <w:lang w:bidi="en-US"/>
        </w:rPr>
        <w:t>/L) or greater, as indicated by </w:t>
      </w:r>
      <w:r w:rsidR="004961B0" w:rsidRPr="005C0B20">
        <w:rPr>
          <w:rFonts w:ascii="Futura" w:eastAsia="Calibri" w:hAnsi="Futura" w:cs="Calibri"/>
          <w:b/>
          <w:bCs/>
          <w:color w:val="000000"/>
          <w:sz w:val="20"/>
          <w:szCs w:val="20"/>
          <w:lang w:bidi="en-US"/>
        </w:rPr>
        <w:t>ALL</w:t>
      </w:r>
      <w:r w:rsidRPr="005C0B20">
        <w:rPr>
          <w:rFonts w:ascii="Futura" w:eastAsia="Calibri" w:hAnsi="Futura" w:cs="Calibri"/>
          <w:color w:val="000000"/>
          <w:sz w:val="20"/>
          <w:szCs w:val="20"/>
          <w:lang w:bidi="en-US"/>
        </w:rPr>
        <w:t xml:space="preserve"> the following</w:t>
      </w:r>
      <w:bookmarkStart w:id="12" w:name="cl_c_27"/>
      <w:bookmarkEnd w:id="12"/>
      <w:r w:rsidRPr="005C0B20">
        <w:rPr>
          <w:rFonts w:ascii="Futura" w:eastAsia="Calibri" w:hAnsi="Futura" w:cs="Calibri"/>
          <w:color w:val="000000"/>
          <w:sz w:val="20"/>
          <w:szCs w:val="20"/>
          <w:lang w:bidi="en-US"/>
        </w:rPr>
        <w:t>:</w:t>
      </w:r>
    </w:p>
    <w:p w14:paraId="20EB321F" w14:textId="77777777" w:rsidR="005C0B20" w:rsidRPr="005C0B20" w:rsidRDefault="005C0B20" w:rsidP="009B60D0">
      <w:pPr>
        <w:numPr>
          <w:ilvl w:val="3"/>
          <w:numId w:val="20"/>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Age 6 years or older</w:t>
      </w:r>
    </w:p>
    <w:p w14:paraId="79EEA3C7" w14:textId="77777777" w:rsidR="005C0B20" w:rsidRPr="005C0B20" w:rsidRDefault="005C0B20" w:rsidP="009B60D0">
      <w:pPr>
        <w:numPr>
          <w:ilvl w:val="3"/>
          <w:numId w:val="21"/>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Mepolizumab not being used as monotherapy for asthma</w:t>
      </w:r>
    </w:p>
    <w:p w14:paraId="530E054C" w14:textId="0FE23439" w:rsidR="005C0B20" w:rsidRPr="005C0B20" w:rsidRDefault="005C0B20" w:rsidP="009B60D0">
      <w:pPr>
        <w:numPr>
          <w:ilvl w:val="3"/>
          <w:numId w:val="22"/>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Need for treatment escalation, severe asthma, as indicated by </w:t>
      </w:r>
      <w:r w:rsidRPr="005C0B20">
        <w:rPr>
          <w:rFonts w:ascii="Futura" w:eastAsia="Calibri" w:hAnsi="Futura" w:cs="Calibri"/>
          <w:b/>
          <w:bCs/>
          <w:color w:val="000000"/>
          <w:sz w:val="20"/>
          <w:szCs w:val="20"/>
          <w:lang w:bidi="en-US"/>
        </w:rPr>
        <w:t>1 or more</w:t>
      </w:r>
      <w:r w:rsidRPr="005C0B20">
        <w:rPr>
          <w:rFonts w:ascii="Futura" w:eastAsia="Calibri" w:hAnsi="Futura" w:cs="Calibri"/>
          <w:color w:val="000000"/>
          <w:sz w:val="20"/>
          <w:szCs w:val="20"/>
          <w:lang w:bidi="en-US"/>
        </w:rPr>
        <w:t> of the following:</w:t>
      </w:r>
    </w:p>
    <w:p w14:paraId="5BEE2620" w14:textId="05711A45" w:rsidR="005C0B20" w:rsidRPr="005C0B20" w:rsidRDefault="005C0B20" w:rsidP="009B60D0">
      <w:pPr>
        <w:numPr>
          <w:ilvl w:val="4"/>
          <w:numId w:val="23"/>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Remains uncontrolled despite treatment with high-dose inhaled corticosteroids plus second controller (</w:t>
      </w:r>
      <w:r w:rsidR="004961B0" w:rsidRPr="005C0B20">
        <w:rPr>
          <w:rFonts w:ascii="Futura" w:eastAsia="Calibri" w:hAnsi="Futura" w:cs="Calibri"/>
          <w:color w:val="000000"/>
          <w:sz w:val="20"/>
          <w:szCs w:val="20"/>
          <w:lang w:bidi="en-US"/>
        </w:rPr>
        <w:t>e.g.</w:t>
      </w:r>
      <w:r w:rsidRPr="005C0B20">
        <w:rPr>
          <w:rFonts w:ascii="Futura" w:eastAsia="Calibri" w:hAnsi="Futura" w:cs="Calibri"/>
          <w:color w:val="000000"/>
          <w:sz w:val="20"/>
          <w:szCs w:val="20"/>
          <w:lang w:bidi="en-US"/>
        </w:rPr>
        <w:t>, long-acting beta-agonist, leukotriene modifier, long-acting muscarinic antagonist, oral corticosteroids)</w:t>
      </w:r>
    </w:p>
    <w:p w14:paraId="5A397A95" w14:textId="435B08CE" w:rsidR="005C0B20" w:rsidRPr="005C0B20" w:rsidRDefault="005C0B20" w:rsidP="009B60D0">
      <w:pPr>
        <w:numPr>
          <w:ilvl w:val="4"/>
          <w:numId w:val="24"/>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Requires maintenance treatment with high-dose inhaled corticosteroids plus second controller (</w:t>
      </w:r>
      <w:r w:rsidR="004961B0" w:rsidRPr="005C0B20">
        <w:rPr>
          <w:rFonts w:ascii="Futura" w:eastAsia="Calibri" w:hAnsi="Futura" w:cs="Calibri"/>
          <w:color w:val="000000"/>
          <w:sz w:val="20"/>
          <w:szCs w:val="20"/>
          <w:lang w:bidi="en-US"/>
        </w:rPr>
        <w:t>e.g.</w:t>
      </w:r>
      <w:r w:rsidRPr="005C0B20">
        <w:rPr>
          <w:rFonts w:ascii="Futura" w:eastAsia="Calibri" w:hAnsi="Futura" w:cs="Calibri"/>
          <w:color w:val="000000"/>
          <w:sz w:val="20"/>
          <w:szCs w:val="20"/>
          <w:lang w:bidi="en-US"/>
        </w:rPr>
        <w:t>, long-acting beta-agonist, leukotriene modifier, long-acting muscarinic antagonist, oral corticosteroids) to remain in control</w:t>
      </w:r>
    </w:p>
    <w:p w14:paraId="6A20819D" w14:textId="19165EA1" w:rsidR="005C0B20" w:rsidRPr="005C0B20" w:rsidRDefault="005C0B20" w:rsidP="009B60D0">
      <w:pPr>
        <w:numPr>
          <w:ilvl w:val="2"/>
          <w:numId w:val="19"/>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Chronic rhinosinusitis with nasal polyposis, as indicated by </w:t>
      </w:r>
      <w:r w:rsidR="004961B0" w:rsidRPr="005C0B20">
        <w:rPr>
          <w:rFonts w:ascii="Futura" w:eastAsia="Calibri" w:hAnsi="Futura" w:cs="Calibri"/>
          <w:b/>
          <w:bCs/>
          <w:color w:val="000000"/>
          <w:sz w:val="20"/>
          <w:szCs w:val="20"/>
          <w:lang w:bidi="en-US"/>
        </w:rPr>
        <w:t>ALL</w:t>
      </w:r>
      <w:r w:rsidRPr="005C0B20">
        <w:rPr>
          <w:rFonts w:ascii="Futura" w:eastAsia="Calibri" w:hAnsi="Futura" w:cs="Calibri"/>
          <w:color w:val="000000"/>
          <w:sz w:val="20"/>
          <w:szCs w:val="20"/>
          <w:lang w:bidi="en-US"/>
        </w:rPr>
        <w:t xml:space="preserve"> the following</w:t>
      </w:r>
      <w:bookmarkStart w:id="13" w:name="cl_c_44"/>
      <w:bookmarkEnd w:id="13"/>
      <w:r w:rsidRPr="005C0B20">
        <w:rPr>
          <w:rFonts w:ascii="Futura" w:eastAsia="Calibri" w:hAnsi="Futura" w:cs="Calibri"/>
          <w:color w:val="000000"/>
          <w:sz w:val="20"/>
          <w:szCs w:val="20"/>
          <w:lang w:bidi="en-US"/>
        </w:rPr>
        <w:t>:</w:t>
      </w:r>
    </w:p>
    <w:p w14:paraId="7C195BEB" w14:textId="77777777" w:rsidR="005C0B20" w:rsidRPr="005C0B20" w:rsidRDefault="005C0B20" w:rsidP="009B60D0">
      <w:pPr>
        <w:numPr>
          <w:ilvl w:val="3"/>
          <w:numId w:val="25"/>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Age 18 years or older</w:t>
      </w:r>
    </w:p>
    <w:p w14:paraId="73E8382F" w14:textId="77777777" w:rsidR="005C0B20" w:rsidRPr="005C0B20" w:rsidRDefault="005C0B20" w:rsidP="009B60D0">
      <w:pPr>
        <w:numPr>
          <w:ilvl w:val="3"/>
          <w:numId w:val="26"/>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Mepolizumab not being used as monotherapy for chronic rhinosinusitis with nasal polyposis</w:t>
      </w:r>
    </w:p>
    <w:p w14:paraId="2EC05FFB" w14:textId="620A646B" w:rsidR="005C0B20" w:rsidRPr="005C0B20" w:rsidRDefault="005C0B20" w:rsidP="009B60D0">
      <w:pPr>
        <w:numPr>
          <w:ilvl w:val="3"/>
          <w:numId w:val="27"/>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Symptoms have not responded adequately to 1 or more months of intranasal corticosteroid.</w:t>
      </w:r>
      <w:bookmarkStart w:id="14" w:name="cl_c_47"/>
      <w:bookmarkEnd w:id="14"/>
      <w:r w:rsidR="004961B0" w:rsidRPr="005C0B20">
        <w:rPr>
          <w:rFonts w:ascii="Futura" w:eastAsia="Calibri" w:hAnsi="Futura" w:cs="Calibri"/>
          <w:color w:val="000000"/>
          <w:sz w:val="20"/>
          <w:szCs w:val="20"/>
          <w:lang w:bidi="en-US"/>
        </w:rPr>
        <w:t xml:space="preserve"> </w:t>
      </w:r>
    </w:p>
    <w:p w14:paraId="252EF23B" w14:textId="25702C86" w:rsidR="005C0B20" w:rsidRPr="005C0B20" w:rsidRDefault="005C0B20" w:rsidP="009B60D0">
      <w:pPr>
        <w:numPr>
          <w:ilvl w:val="2"/>
          <w:numId w:val="19"/>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Eosinophilic granulomatosis with polyangiitis (EGPA), as indicated by </w:t>
      </w:r>
      <w:r w:rsidR="004961B0" w:rsidRPr="005C0B20">
        <w:rPr>
          <w:rFonts w:ascii="Futura" w:eastAsia="Calibri" w:hAnsi="Futura" w:cs="Calibri"/>
          <w:b/>
          <w:bCs/>
          <w:color w:val="000000"/>
          <w:sz w:val="20"/>
          <w:szCs w:val="20"/>
          <w:lang w:bidi="en-US"/>
        </w:rPr>
        <w:t>ALL</w:t>
      </w:r>
      <w:r w:rsidRPr="005C0B20">
        <w:rPr>
          <w:rFonts w:ascii="Futura" w:eastAsia="Calibri" w:hAnsi="Futura" w:cs="Calibri"/>
          <w:color w:val="000000"/>
          <w:sz w:val="20"/>
          <w:szCs w:val="20"/>
          <w:lang w:bidi="en-US"/>
        </w:rPr>
        <w:t xml:space="preserve"> the following</w:t>
      </w:r>
      <w:bookmarkStart w:id="15" w:name="cl_c_51"/>
      <w:bookmarkEnd w:id="15"/>
      <w:r w:rsidRPr="005C0B20">
        <w:rPr>
          <w:rFonts w:ascii="Futura" w:eastAsia="Calibri" w:hAnsi="Futura" w:cs="Calibri"/>
          <w:color w:val="000000"/>
          <w:sz w:val="20"/>
          <w:szCs w:val="20"/>
          <w:lang w:bidi="en-US"/>
        </w:rPr>
        <w:t>:</w:t>
      </w:r>
    </w:p>
    <w:p w14:paraId="150F974E" w14:textId="77777777" w:rsidR="005C0B20" w:rsidRPr="005C0B20" w:rsidRDefault="005C0B20" w:rsidP="009B60D0">
      <w:pPr>
        <w:numPr>
          <w:ilvl w:val="3"/>
          <w:numId w:val="28"/>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Age 18 years or older</w:t>
      </w:r>
    </w:p>
    <w:p w14:paraId="122C44F5" w14:textId="1A1D00DF" w:rsidR="005C0B20" w:rsidRPr="005C0B20" w:rsidRDefault="005C0B20" w:rsidP="009B60D0">
      <w:pPr>
        <w:numPr>
          <w:ilvl w:val="3"/>
          <w:numId w:val="29"/>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 xml:space="preserve">Asthma diagnosis (current or </w:t>
      </w:r>
      <w:r w:rsidR="00900A5B" w:rsidRPr="005C0B20">
        <w:rPr>
          <w:rFonts w:ascii="Futura" w:eastAsia="Calibri" w:hAnsi="Futura" w:cs="Calibri"/>
          <w:color w:val="000000"/>
          <w:sz w:val="20"/>
          <w:szCs w:val="20"/>
          <w:lang w:bidi="en-US"/>
        </w:rPr>
        <w:t>history</w:t>
      </w:r>
      <w:r w:rsidRPr="005C0B20">
        <w:rPr>
          <w:rFonts w:ascii="Futura" w:eastAsia="Calibri" w:hAnsi="Futura" w:cs="Calibri"/>
          <w:color w:val="000000"/>
          <w:sz w:val="20"/>
          <w:szCs w:val="20"/>
          <w:lang w:bidi="en-US"/>
        </w:rPr>
        <w:t>)</w:t>
      </w:r>
      <w:bookmarkStart w:id="16" w:name="cl_c_53"/>
      <w:bookmarkEnd w:id="16"/>
      <w:r w:rsidR="004961B0" w:rsidRPr="005C0B20">
        <w:rPr>
          <w:rFonts w:ascii="Futura" w:eastAsia="Calibri" w:hAnsi="Futura" w:cs="Calibri"/>
          <w:color w:val="000000"/>
          <w:sz w:val="20"/>
          <w:szCs w:val="20"/>
          <w:lang w:bidi="en-US"/>
        </w:rPr>
        <w:t xml:space="preserve"> </w:t>
      </w:r>
    </w:p>
    <w:p w14:paraId="475E38A1" w14:textId="77777777" w:rsidR="005C0B20" w:rsidRPr="005C0B20" w:rsidRDefault="005C0B20" w:rsidP="009B60D0">
      <w:pPr>
        <w:numPr>
          <w:ilvl w:val="3"/>
          <w:numId w:val="30"/>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Blood eosinophil level of 10% or higher, or absolute blood eosinophil count greater than or equal to 1000 eosinophils per mm</w:t>
      </w:r>
      <w:r w:rsidRPr="005C0B20">
        <w:rPr>
          <w:rFonts w:ascii="Futura" w:eastAsia="Calibri" w:hAnsi="Futura" w:cs="Calibri"/>
          <w:color w:val="000000"/>
          <w:sz w:val="20"/>
          <w:szCs w:val="20"/>
          <w:vertAlign w:val="superscript"/>
          <w:lang w:bidi="en-US"/>
        </w:rPr>
        <w:t>3</w:t>
      </w:r>
      <w:r w:rsidRPr="005C0B20">
        <w:rPr>
          <w:rFonts w:ascii="Futura" w:eastAsia="Calibri" w:hAnsi="Futura" w:cs="Calibri"/>
          <w:color w:val="000000"/>
          <w:sz w:val="20"/>
          <w:szCs w:val="20"/>
          <w:lang w:bidi="en-US"/>
        </w:rPr>
        <w:t> (1.0 x10</w:t>
      </w:r>
      <w:r w:rsidRPr="005C0B20">
        <w:rPr>
          <w:rFonts w:ascii="Futura" w:eastAsia="Calibri" w:hAnsi="Futura" w:cs="Calibri"/>
          <w:color w:val="000000"/>
          <w:sz w:val="20"/>
          <w:szCs w:val="20"/>
          <w:vertAlign w:val="superscript"/>
          <w:lang w:bidi="en-US"/>
        </w:rPr>
        <w:t>9</w:t>
      </w:r>
      <w:r w:rsidRPr="005C0B20">
        <w:rPr>
          <w:rFonts w:ascii="Futura" w:eastAsia="Calibri" w:hAnsi="Futura" w:cs="Calibri"/>
          <w:color w:val="000000"/>
          <w:sz w:val="20"/>
          <w:szCs w:val="20"/>
          <w:lang w:bidi="en-US"/>
        </w:rPr>
        <w:t>/L)</w:t>
      </w:r>
    </w:p>
    <w:p w14:paraId="04AF593A" w14:textId="77777777" w:rsidR="005C0B20" w:rsidRPr="005C0B20" w:rsidRDefault="005C0B20" w:rsidP="009B60D0">
      <w:pPr>
        <w:numPr>
          <w:ilvl w:val="3"/>
          <w:numId w:val="31"/>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Eosinophilic granulomatosis with polyangiitis present for 6 months or more</w:t>
      </w:r>
    </w:p>
    <w:p w14:paraId="55FEA64A" w14:textId="586CE2C3" w:rsidR="005C0B20" w:rsidRPr="005C0B20" w:rsidRDefault="005C0B20" w:rsidP="009B60D0">
      <w:pPr>
        <w:numPr>
          <w:ilvl w:val="3"/>
          <w:numId w:val="32"/>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Refractory or relapsing disease</w:t>
      </w:r>
    </w:p>
    <w:p w14:paraId="253E42C5" w14:textId="5AAC333D" w:rsidR="005C0B20" w:rsidRPr="005C0B20" w:rsidRDefault="005C0B20" w:rsidP="009B60D0">
      <w:pPr>
        <w:numPr>
          <w:ilvl w:val="2"/>
          <w:numId w:val="19"/>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Hypereosinophilic syndrome, as indicated by </w:t>
      </w:r>
      <w:r w:rsidR="003B7F66" w:rsidRPr="005C0B20">
        <w:rPr>
          <w:rFonts w:ascii="Futura" w:eastAsia="Calibri" w:hAnsi="Futura" w:cs="Calibri"/>
          <w:b/>
          <w:bCs/>
          <w:color w:val="000000"/>
          <w:sz w:val="20"/>
          <w:szCs w:val="20"/>
          <w:lang w:bidi="en-US"/>
        </w:rPr>
        <w:t>ALL</w:t>
      </w:r>
      <w:r w:rsidRPr="005C0B20">
        <w:rPr>
          <w:rFonts w:ascii="Futura" w:eastAsia="Calibri" w:hAnsi="Futura" w:cs="Calibri"/>
          <w:color w:val="000000"/>
          <w:sz w:val="20"/>
          <w:szCs w:val="20"/>
          <w:lang w:bidi="en-US"/>
        </w:rPr>
        <w:t xml:space="preserve"> the following:</w:t>
      </w:r>
      <w:r w:rsidRPr="005C0B20">
        <w:rPr>
          <w:rFonts w:ascii="Futura" w:eastAsia="Calibri" w:hAnsi="Futura" w:cs="Calibri"/>
          <w:noProof/>
          <w:color w:val="000000"/>
          <w:sz w:val="20"/>
          <w:szCs w:val="20"/>
          <w:lang w:bidi="en-US"/>
        </w:rPr>
        <mc:AlternateContent>
          <mc:Choice Requires="wps">
            <w:drawing>
              <wp:inline distT="0" distB="0" distL="0" distR="0" wp14:anchorId="02F1CBF6" wp14:editId="27B810EB">
                <wp:extent cx="304800" cy="304800"/>
                <wp:effectExtent l="0" t="0" r="0" b="0"/>
                <wp:docPr id="952661523" name="Rectangle 23" descr="Supporting evidence, suggestions, and alternatives">
                  <a:hlinkClick xmlns:a="http://schemas.openxmlformats.org/drawingml/2006/main" r:id="rId10" tooltip="&quot;Supporting evidence, suggestions, and alternativ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05BAD" id="Rectangle 23" o:spid="_x0000_s1026" alt="Supporting evidence, suggestions, and alternatives" href="https://rxadvance.carewebqi.com/GuidelineViewer.aspx/cver28.0/ac/ac_04586.htm?args=AQAAANCMnd8BFdERjHoAwE_Cl-sBAAAAtogmHFeQDkyCDKJTPYzHqAQAAAACAAAAAAAQZgAAAAEAACAAAAALl_F1raWFN9fBCpM7wedticBrD5F2z2heLc0Jfqxn5AAAAAAOgAAAAAIAACAAAAC9GkccRSwp_CclIbaFYF5zZfmqgzaANkulAmBMzztlpBAAAAAMPArpw8OVnxXI-3MkaCvAQAAAAEacH5U_Dgug0ilTM0TkFSx3RBNMc-PRHd0fur5EJ_Xl65FGu9ZDIM2FYGn1Y1gy6xyOe3rvmAEU_f4b6EAbGQA1" title="&quot;Supporting evidence, suggestions, and alternative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09449E5" w14:textId="77777777" w:rsidR="005C0B20" w:rsidRPr="005C0B20" w:rsidRDefault="005C0B20" w:rsidP="009B60D0">
      <w:pPr>
        <w:numPr>
          <w:ilvl w:val="3"/>
          <w:numId w:val="33"/>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Age 12 years or older</w:t>
      </w:r>
    </w:p>
    <w:p w14:paraId="33E3B739" w14:textId="77777777" w:rsidR="005C0B20" w:rsidRPr="005C0B20" w:rsidRDefault="005C0B20" w:rsidP="009B60D0">
      <w:pPr>
        <w:numPr>
          <w:ilvl w:val="3"/>
          <w:numId w:val="34"/>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Blood eosinophil count greater than or equal to 1000 eosinophils per mm</w:t>
      </w:r>
      <w:r w:rsidRPr="005C0B20">
        <w:rPr>
          <w:rFonts w:ascii="Futura" w:eastAsia="Calibri" w:hAnsi="Futura" w:cs="Calibri"/>
          <w:color w:val="000000"/>
          <w:sz w:val="20"/>
          <w:szCs w:val="20"/>
          <w:vertAlign w:val="superscript"/>
          <w:lang w:bidi="en-US"/>
        </w:rPr>
        <w:t>3</w:t>
      </w:r>
      <w:r w:rsidRPr="005C0B20">
        <w:rPr>
          <w:rFonts w:ascii="Futura" w:eastAsia="Calibri" w:hAnsi="Futura" w:cs="Calibri"/>
          <w:color w:val="000000"/>
          <w:sz w:val="20"/>
          <w:szCs w:val="20"/>
          <w:lang w:bidi="en-US"/>
        </w:rPr>
        <w:t> (1.0 x10</w:t>
      </w:r>
      <w:r w:rsidRPr="005C0B20">
        <w:rPr>
          <w:rFonts w:ascii="Futura" w:eastAsia="Calibri" w:hAnsi="Futura" w:cs="Calibri"/>
          <w:color w:val="000000"/>
          <w:sz w:val="20"/>
          <w:szCs w:val="20"/>
          <w:vertAlign w:val="superscript"/>
          <w:lang w:bidi="en-US"/>
        </w:rPr>
        <w:t>9</w:t>
      </w:r>
      <w:r w:rsidRPr="005C0B20">
        <w:rPr>
          <w:rFonts w:ascii="Futura" w:eastAsia="Calibri" w:hAnsi="Futura" w:cs="Calibri"/>
          <w:color w:val="000000"/>
          <w:sz w:val="20"/>
          <w:szCs w:val="20"/>
          <w:lang w:bidi="en-US"/>
        </w:rPr>
        <w:t>/L)</w:t>
      </w:r>
    </w:p>
    <w:p w14:paraId="41F8E82A" w14:textId="01553BF8" w:rsidR="005C0B20" w:rsidRPr="005C0B20" w:rsidRDefault="005C0B20" w:rsidP="009B60D0">
      <w:pPr>
        <w:numPr>
          <w:ilvl w:val="3"/>
          <w:numId w:val="35"/>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Two or more disease flares (</w:t>
      </w:r>
      <w:r w:rsidR="003B7F66" w:rsidRPr="005C0B20">
        <w:rPr>
          <w:rFonts w:ascii="Futura" w:eastAsia="Calibri" w:hAnsi="Futura" w:cs="Calibri"/>
          <w:color w:val="000000"/>
          <w:sz w:val="20"/>
          <w:szCs w:val="20"/>
          <w:lang w:bidi="en-US"/>
        </w:rPr>
        <w:t>e.g.</w:t>
      </w:r>
      <w:r w:rsidRPr="005C0B20">
        <w:rPr>
          <w:rFonts w:ascii="Futura" w:eastAsia="Calibri" w:hAnsi="Futura" w:cs="Calibri"/>
          <w:color w:val="000000"/>
          <w:sz w:val="20"/>
          <w:szCs w:val="20"/>
          <w:lang w:bidi="en-US"/>
        </w:rPr>
        <w:t xml:space="preserve">, abdominal pain, deep venous thrombosis, pulmonary infiltrates, heart failure, thrombocytopenia) in </w:t>
      </w:r>
      <w:r w:rsidR="003B7F66" w:rsidRPr="005C0B20">
        <w:rPr>
          <w:rFonts w:ascii="Futura" w:eastAsia="Calibri" w:hAnsi="Futura" w:cs="Calibri"/>
          <w:color w:val="000000"/>
          <w:sz w:val="20"/>
          <w:szCs w:val="20"/>
          <w:lang w:bidi="en-US"/>
        </w:rPr>
        <w:t>the previous</w:t>
      </w:r>
      <w:r w:rsidRPr="005C0B20">
        <w:rPr>
          <w:rFonts w:ascii="Futura" w:eastAsia="Calibri" w:hAnsi="Futura" w:cs="Calibri"/>
          <w:color w:val="000000"/>
          <w:sz w:val="20"/>
          <w:szCs w:val="20"/>
          <w:lang w:bidi="en-US"/>
        </w:rPr>
        <w:t xml:space="preserve"> 12 months</w:t>
      </w:r>
    </w:p>
    <w:p w14:paraId="04EF60AA" w14:textId="77777777" w:rsidR="005C0B20" w:rsidRPr="005C0B20" w:rsidRDefault="005C0B20" w:rsidP="009B60D0">
      <w:pPr>
        <w:numPr>
          <w:ilvl w:val="3"/>
          <w:numId w:val="36"/>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No secondary cause of hypereosinophilia identified</w:t>
      </w:r>
    </w:p>
    <w:p w14:paraId="6E5BFF38" w14:textId="77777777" w:rsidR="005C0B20" w:rsidRPr="005C0B20" w:rsidRDefault="005C0B20" w:rsidP="009B60D0">
      <w:pPr>
        <w:numPr>
          <w:ilvl w:val="1"/>
          <w:numId w:val="19"/>
        </w:numPr>
        <w:spacing w:after="0" w:line="240" w:lineRule="auto"/>
        <w:jc w:val="both"/>
        <w:rPr>
          <w:rFonts w:ascii="Futura" w:eastAsia="Calibri" w:hAnsi="Futura" w:cs="Calibri"/>
          <w:color w:val="000000"/>
          <w:sz w:val="20"/>
          <w:szCs w:val="20"/>
          <w:lang w:bidi="en-US"/>
        </w:rPr>
      </w:pPr>
      <w:r w:rsidRPr="005C0B20">
        <w:rPr>
          <w:rFonts w:ascii="Futura" w:eastAsia="Calibri" w:hAnsi="Futura" w:cs="Calibri"/>
          <w:color w:val="000000"/>
          <w:sz w:val="20"/>
          <w:szCs w:val="20"/>
          <w:lang w:bidi="en-US"/>
        </w:rPr>
        <w:t>No active parasitic infection</w:t>
      </w:r>
    </w:p>
    <w:p w14:paraId="6184DD81" w14:textId="77777777" w:rsidR="005C0B20" w:rsidRDefault="005C0B20" w:rsidP="00554794">
      <w:pPr>
        <w:spacing w:after="0" w:line="240" w:lineRule="auto"/>
        <w:jc w:val="both"/>
        <w:rPr>
          <w:rFonts w:ascii="Futura" w:eastAsia="Calibri" w:hAnsi="Futura" w:cs="Calibri"/>
          <w:color w:val="000000"/>
          <w:sz w:val="20"/>
          <w:szCs w:val="20"/>
          <w:lang w:bidi="en-US"/>
        </w:rPr>
      </w:pPr>
    </w:p>
    <w:p w14:paraId="3AC2329E" w14:textId="77777777" w:rsidR="000006BB" w:rsidRDefault="000006BB" w:rsidP="00554794">
      <w:pPr>
        <w:spacing w:after="0" w:line="240" w:lineRule="auto"/>
        <w:jc w:val="both"/>
        <w:rPr>
          <w:rFonts w:ascii="Futura" w:eastAsia="Calibri" w:hAnsi="Futura" w:cs="Calibri"/>
          <w:color w:val="000000"/>
          <w:sz w:val="20"/>
          <w:szCs w:val="20"/>
          <w:lang w:bidi="en-US"/>
        </w:rPr>
      </w:pPr>
    </w:p>
    <w:p w14:paraId="6080883F" w14:textId="77777777" w:rsidR="004961B0" w:rsidRDefault="00C97412" w:rsidP="00554794">
      <w:pPr>
        <w:spacing w:after="0" w:line="240" w:lineRule="auto"/>
        <w:jc w:val="both"/>
        <w:rPr>
          <w:rFonts w:ascii="Futura" w:eastAsia="Calibri" w:hAnsi="Futura" w:cs="Calibri"/>
          <w:color w:val="000000"/>
          <w:sz w:val="20"/>
          <w:szCs w:val="20"/>
          <w:lang w:bidi="en-US"/>
        </w:rPr>
      </w:pPr>
      <w:r w:rsidRPr="004961B0">
        <w:rPr>
          <w:rFonts w:ascii="Futura" w:eastAsia="Calibri" w:hAnsi="Futura" w:cs="Calibri"/>
          <w:b/>
          <w:bCs/>
          <w:color w:val="000000"/>
          <w:sz w:val="28"/>
          <w:szCs w:val="28"/>
          <w:lang w:bidi="en-US"/>
        </w:rPr>
        <w:t>XOLAIR</w:t>
      </w:r>
      <w:r w:rsidRPr="00C97412">
        <w:rPr>
          <w:rFonts w:ascii="Futura" w:eastAsia="Calibri" w:hAnsi="Futura" w:cs="Calibri"/>
          <w:color w:val="000000"/>
          <w:sz w:val="20"/>
          <w:szCs w:val="20"/>
          <w:lang w:bidi="en-US"/>
        </w:rPr>
        <w:t xml:space="preserve"> is an anti-IgE antibody indicated for: </w:t>
      </w:r>
    </w:p>
    <w:p w14:paraId="1A69AA06" w14:textId="77777777" w:rsidR="004961B0"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Moderate to severe persistent asthma in adults and pediatric patients 6 years of age and older with a positive skin test or in vitro reactivity to a perennial aeroallergen and symptoms that are inadequately controlled with inhaled corticosteroids </w:t>
      </w:r>
    </w:p>
    <w:p w14:paraId="08F1B175" w14:textId="6340C159" w:rsidR="004961B0"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Chronic rhinosinusitis with nasal polyps (CRSwNP) in adult patients 18 years of age and older with inadequate response to nasal corticosteroids, as add-on maintenance treatment</w:t>
      </w:r>
    </w:p>
    <w:p w14:paraId="635714BD" w14:textId="40F44AFD" w:rsidR="004961B0"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lastRenderedPageBreak/>
        <w:sym w:font="Symbol" w:char="F0B7"/>
      </w:r>
      <w:r w:rsidRPr="00C97412">
        <w:rPr>
          <w:rFonts w:ascii="Futura" w:eastAsia="Calibri" w:hAnsi="Futura" w:cs="Calibri"/>
          <w:color w:val="000000"/>
          <w:sz w:val="20"/>
          <w:szCs w:val="20"/>
          <w:lang w:bidi="en-US"/>
        </w:rPr>
        <w:t xml:space="preserve"> IgE-mediated food allergy in adult and pediatric patients aged 1 year and older for the reduction of allergic reactions (Type I), including anaphylaxis, that may occur with accidental exposure to one or more foods. To be used in conjunction with food allergen avoidance</w:t>
      </w:r>
    </w:p>
    <w:p w14:paraId="6E27EDCC" w14:textId="77777777" w:rsidR="004961B0"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Chronic spontaneous urticaria (CSU) in adults and adolescents 12 years of age and older who remain symptomatic despite H1 antihistamine treatment</w:t>
      </w:r>
    </w:p>
    <w:p w14:paraId="394A4C12" w14:textId="77777777" w:rsidR="004961B0" w:rsidRDefault="004961B0" w:rsidP="00554794">
      <w:pPr>
        <w:spacing w:after="0" w:line="240" w:lineRule="auto"/>
        <w:jc w:val="both"/>
        <w:rPr>
          <w:rFonts w:ascii="Futura" w:eastAsia="Calibri" w:hAnsi="Futura" w:cs="Calibri"/>
          <w:color w:val="000000"/>
          <w:sz w:val="20"/>
          <w:szCs w:val="20"/>
          <w:lang w:bidi="en-US"/>
        </w:rPr>
      </w:pPr>
    </w:p>
    <w:p w14:paraId="49BE2E9B" w14:textId="77777777" w:rsidR="004961B0"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t xml:space="preserve">Limitations of Use: </w:t>
      </w:r>
    </w:p>
    <w:p w14:paraId="6ED68161" w14:textId="32535CCF"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Not indicated for acute bronchospasm or status asthmaticus. </w:t>
      </w:r>
    </w:p>
    <w:p w14:paraId="285725D6" w14:textId="3D07C766"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Not indicated for the emergency treatment of allergic reactions, including anaphylaxis</w:t>
      </w:r>
    </w:p>
    <w:p w14:paraId="12C7BE0C" w14:textId="77777777"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Not indicated for other forms of urticaria. </w:t>
      </w:r>
    </w:p>
    <w:p w14:paraId="0EAD112F" w14:textId="77777777" w:rsidR="004C4988" w:rsidRDefault="004C4988" w:rsidP="00554794">
      <w:pPr>
        <w:spacing w:after="0" w:line="240" w:lineRule="auto"/>
        <w:jc w:val="both"/>
        <w:rPr>
          <w:rFonts w:ascii="Futura" w:eastAsia="Calibri" w:hAnsi="Futura" w:cs="Calibri"/>
          <w:color w:val="000000"/>
          <w:sz w:val="20"/>
          <w:szCs w:val="20"/>
          <w:lang w:bidi="en-US"/>
        </w:rPr>
      </w:pPr>
    </w:p>
    <w:p w14:paraId="5E81B4A2" w14:textId="77777777"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t>DOSAGE AND ADMINISTRATION</w:t>
      </w:r>
    </w:p>
    <w:p w14:paraId="4011B686" w14:textId="77777777"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t>For subcutaneous (SC) administration only. See full prescribing information for administration instructions</w:t>
      </w:r>
    </w:p>
    <w:p w14:paraId="0423512D" w14:textId="78470671"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Asthma: XOLAIR 75 to 375 mg SC every 2 or 4 weeks. Determine dose (mg) and dosing frequency by serum total IgE level (IU/mL), measured before the start of treatment, and body weight (kg). See the dose determination charts.</w:t>
      </w:r>
    </w:p>
    <w:p w14:paraId="17F4480C" w14:textId="77777777"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Chronic Rhinosinusitis with Nasal Polyps: XOLAIR 75 to 600 mg SC every 2 or 4 weeks. Determine dose (mg) and dosing frequency by serum total IgE level (IU/mL), measured before the start of treatment, and body weight (kg). See the dose determination charts. </w:t>
      </w:r>
    </w:p>
    <w:p w14:paraId="7511BBFE" w14:textId="6058A13D"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IgE-Mediated Food Allergy: XOLAIR 75 mg to 600 mg SC every 2 or 4 weeks. Determine dose (mg) and dosing frequency by serum total IgE level (IU/mL), measured before the start of treatment, and body weight (kg). See the dose determination chart.</w:t>
      </w:r>
    </w:p>
    <w:p w14:paraId="36328093" w14:textId="77777777" w:rsidR="004C4988"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Chronic Spontaneous Urticaria: XOLAIR 150 or 300 mg SC every 4 weeks. Dosing in CSU is not dependent on serum IgE level or body weight.</w:t>
      </w:r>
    </w:p>
    <w:p w14:paraId="77B936F0" w14:textId="77777777" w:rsidR="004C4988" w:rsidRDefault="004C4988" w:rsidP="00554794">
      <w:pPr>
        <w:spacing w:after="0" w:line="240" w:lineRule="auto"/>
        <w:jc w:val="both"/>
        <w:rPr>
          <w:rFonts w:ascii="Futura" w:eastAsia="Calibri" w:hAnsi="Futura" w:cs="Calibri"/>
          <w:color w:val="000000"/>
          <w:sz w:val="20"/>
          <w:szCs w:val="20"/>
          <w:lang w:bidi="en-US"/>
        </w:rPr>
      </w:pPr>
    </w:p>
    <w:p w14:paraId="35700551" w14:textId="77777777" w:rsidR="004C4988" w:rsidRDefault="004C4988"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t xml:space="preserve"> </w:t>
      </w:r>
      <w:r w:rsidR="00C97412" w:rsidRPr="00C97412">
        <w:rPr>
          <w:rFonts w:ascii="Futura" w:eastAsia="Calibri" w:hAnsi="Futura" w:cs="Calibri"/>
          <w:color w:val="000000"/>
          <w:sz w:val="20"/>
          <w:szCs w:val="20"/>
          <w:lang w:bidi="en-US"/>
        </w:rPr>
        <w:t>DOSAGE FORMS AND STRENGTHS</w:t>
      </w:r>
    </w:p>
    <w:p w14:paraId="72B701DB" w14:textId="77777777" w:rsidR="00E7512D"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Injection: 75 mg/0.5 mL, 150 mg/mL, and 300 mg/2 mL solution in a single-dose prefilled syringe. </w:t>
      </w:r>
    </w:p>
    <w:p w14:paraId="2ED88A04" w14:textId="77777777" w:rsidR="00E7512D"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Injection: 75 mg/0.5 mL, 150 mg/mL and 300 mg/2 mL solution in a single-dose prefilled autoinjector. </w:t>
      </w:r>
    </w:p>
    <w:p w14:paraId="31EAECCB" w14:textId="47089212" w:rsidR="000006BB" w:rsidRDefault="00C97412" w:rsidP="00554794">
      <w:pPr>
        <w:spacing w:after="0" w:line="240" w:lineRule="auto"/>
        <w:jc w:val="both"/>
        <w:rPr>
          <w:rFonts w:ascii="Futura" w:eastAsia="Calibri" w:hAnsi="Futura" w:cs="Calibri"/>
          <w:color w:val="000000"/>
          <w:sz w:val="20"/>
          <w:szCs w:val="20"/>
          <w:lang w:bidi="en-US"/>
        </w:rPr>
      </w:pPr>
      <w:r w:rsidRPr="00C97412">
        <w:rPr>
          <w:rFonts w:ascii="Futura" w:eastAsia="Calibri" w:hAnsi="Futura" w:cs="Calibri"/>
          <w:color w:val="000000"/>
          <w:sz w:val="20"/>
          <w:szCs w:val="20"/>
          <w:lang w:bidi="en-US"/>
        </w:rPr>
        <w:sym w:font="Symbol" w:char="F0B7"/>
      </w:r>
      <w:r w:rsidRPr="00C97412">
        <w:rPr>
          <w:rFonts w:ascii="Futura" w:eastAsia="Calibri" w:hAnsi="Futura" w:cs="Calibri"/>
          <w:color w:val="000000"/>
          <w:sz w:val="20"/>
          <w:szCs w:val="20"/>
          <w:lang w:bidi="en-US"/>
        </w:rPr>
        <w:t xml:space="preserve"> For Injection: 150 mg lyophilized powder in a single-dose vial for reconstitution.</w:t>
      </w:r>
    </w:p>
    <w:p w14:paraId="692EBF5E" w14:textId="77777777" w:rsidR="00A317A3" w:rsidRDefault="00A317A3" w:rsidP="00554794">
      <w:pPr>
        <w:spacing w:after="0" w:line="240" w:lineRule="auto"/>
        <w:jc w:val="both"/>
        <w:rPr>
          <w:rFonts w:ascii="Futura" w:eastAsia="Calibri" w:hAnsi="Futura" w:cs="Calibri"/>
          <w:color w:val="000000"/>
          <w:sz w:val="20"/>
          <w:szCs w:val="20"/>
          <w:lang w:bidi="en-US"/>
        </w:rPr>
      </w:pPr>
    </w:p>
    <w:p w14:paraId="60FC9E0C" w14:textId="53A7420A" w:rsidR="00A317A3" w:rsidRPr="00A317A3" w:rsidRDefault="00A317A3" w:rsidP="009B60D0">
      <w:pPr>
        <w:numPr>
          <w:ilvl w:val="0"/>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Omalizumab may be indicated for </w:t>
      </w:r>
      <w:r w:rsidRPr="00A317A3">
        <w:rPr>
          <w:rFonts w:ascii="Futura" w:eastAsia="Calibri" w:hAnsi="Futura" w:cs="Calibri"/>
          <w:b/>
          <w:bCs/>
          <w:color w:val="000000"/>
          <w:sz w:val="20"/>
          <w:szCs w:val="20"/>
          <w:lang w:bidi="en-US"/>
        </w:rPr>
        <w:t>1 or more</w:t>
      </w:r>
      <w:r w:rsidRPr="00A317A3">
        <w:rPr>
          <w:rFonts w:ascii="Futura" w:eastAsia="Calibri" w:hAnsi="Futura" w:cs="Calibri"/>
          <w:color w:val="000000"/>
          <w:sz w:val="20"/>
          <w:szCs w:val="20"/>
          <w:lang w:bidi="en-US"/>
        </w:rPr>
        <w:t> of the following</w:t>
      </w:r>
      <w:bookmarkStart w:id="17" w:name="cl_c_1"/>
      <w:bookmarkEnd w:id="17"/>
      <w:r w:rsidRPr="00A317A3">
        <w:rPr>
          <w:rFonts w:ascii="Futura" w:eastAsia="Calibri" w:hAnsi="Futura" w:cs="Calibri"/>
          <w:color w:val="000000"/>
          <w:sz w:val="20"/>
          <w:szCs w:val="20"/>
          <w:lang w:bidi="en-US"/>
        </w:rPr>
        <w:t>:</w:t>
      </w:r>
    </w:p>
    <w:p w14:paraId="564824C6" w14:textId="0DB85DD7" w:rsidR="00A317A3" w:rsidRPr="00A317A3" w:rsidRDefault="00A317A3" w:rsidP="009B60D0">
      <w:pPr>
        <w:numPr>
          <w:ilvl w:val="1"/>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 Allergic asthma (moderate to severe), as indicated by </w:t>
      </w:r>
      <w:r w:rsidRPr="00A317A3">
        <w:rPr>
          <w:rFonts w:ascii="Futura" w:eastAsia="Calibri" w:hAnsi="Futura" w:cs="Calibri"/>
          <w:b/>
          <w:bCs/>
          <w:color w:val="000000"/>
          <w:sz w:val="20"/>
          <w:szCs w:val="20"/>
          <w:lang w:bidi="en-US"/>
        </w:rPr>
        <w:t>1 or more</w:t>
      </w:r>
      <w:r w:rsidRPr="00A317A3">
        <w:rPr>
          <w:rFonts w:ascii="Futura" w:eastAsia="Calibri" w:hAnsi="Futura" w:cs="Calibri"/>
          <w:color w:val="000000"/>
          <w:sz w:val="20"/>
          <w:szCs w:val="20"/>
          <w:lang w:bidi="en-US"/>
        </w:rPr>
        <w:t> of the following</w:t>
      </w:r>
      <w:bookmarkStart w:id="18" w:name="cl_c_37"/>
      <w:bookmarkStart w:id="19" w:name="cl_c_38"/>
      <w:bookmarkStart w:id="20" w:name="cl_c_39"/>
      <w:bookmarkEnd w:id="18"/>
      <w:bookmarkEnd w:id="19"/>
      <w:bookmarkEnd w:id="20"/>
      <w:r w:rsidRPr="00A317A3">
        <w:rPr>
          <w:rFonts w:ascii="Futura" w:eastAsia="Calibri" w:hAnsi="Futura" w:cs="Calibri"/>
          <w:color w:val="000000"/>
          <w:sz w:val="20"/>
          <w:szCs w:val="20"/>
          <w:lang w:bidi="en-US"/>
        </w:rPr>
        <w:t>:</w:t>
      </w:r>
    </w:p>
    <w:p w14:paraId="28B7A7C8" w14:textId="68E49848"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Initial course,</w:t>
      </w:r>
      <w:r w:rsidR="00E7512D" w:rsidRPr="00A317A3">
        <w:rPr>
          <w:rFonts w:ascii="Futura" w:eastAsia="Calibri" w:hAnsi="Futura" w:cs="Calibri"/>
          <w:color w:val="000000"/>
          <w:sz w:val="20"/>
          <w:szCs w:val="20"/>
          <w:lang w:bidi="en-US"/>
        </w:rPr>
        <w:t xml:space="preserve"> </w:t>
      </w:r>
      <w:r w:rsidRPr="00A317A3">
        <w:rPr>
          <w:rFonts w:ascii="Futura" w:eastAsia="Calibri" w:hAnsi="Futura" w:cs="Calibri"/>
          <w:color w:val="000000"/>
          <w:sz w:val="20"/>
          <w:szCs w:val="20"/>
          <w:lang w:bidi="en-US"/>
        </w:rPr>
        <w:t>as indicated by </w:t>
      </w:r>
      <w:r w:rsidR="00E7512D" w:rsidRPr="00A317A3">
        <w:rPr>
          <w:rFonts w:ascii="Futura" w:eastAsia="Calibri" w:hAnsi="Futura" w:cs="Calibri"/>
          <w:b/>
          <w:bCs/>
          <w:color w:val="000000"/>
          <w:sz w:val="20"/>
          <w:szCs w:val="20"/>
          <w:lang w:bidi="en-US"/>
        </w:rPr>
        <w:t>ALL</w:t>
      </w:r>
      <w:r w:rsidRPr="00A317A3">
        <w:rPr>
          <w:rFonts w:ascii="Futura" w:eastAsia="Calibri" w:hAnsi="Futura" w:cs="Calibri"/>
          <w:color w:val="000000"/>
          <w:sz w:val="20"/>
          <w:szCs w:val="20"/>
          <w:lang w:bidi="en-US"/>
        </w:rPr>
        <w:t xml:space="preserve"> the following</w:t>
      </w:r>
      <w:bookmarkStart w:id="21" w:name="cl_c_54"/>
      <w:bookmarkStart w:id="22" w:name="cl_c_55"/>
      <w:bookmarkStart w:id="23" w:name="cl_c_56"/>
      <w:bookmarkEnd w:id="21"/>
      <w:bookmarkEnd w:id="22"/>
      <w:bookmarkEnd w:id="23"/>
      <w:r w:rsidRPr="00A317A3">
        <w:rPr>
          <w:rFonts w:ascii="Futura" w:eastAsia="Calibri" w:hAnsi="Futura" w:cs="Calibri"/>
          <w:color w:val="000000"/>
          <w:sz w:val="20"/>
          <w:szCs w:val="20"/>
          <w:lang w:bidi="en-US"/>
        </w:rPr>
        <w:t>:</w:t>
      </w:r>
    </w:p>
    <w:p w14:paraId="28AC740E" w14:textId="77777777" w:rsidR="00A317A3" w:rsidRPr="00A317A3" w:rsidRDefault="00A317A3" w:rsidP="009B60D0">
      <w:pPr>
        <w:numPr>
          <w:ilvl w:val="3"/>
          <w:numId w:val="5"/>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Age 6 years or older</w:t>
      </w:r>
    </w:p>
    <w:p w14:paraId="7AED131A" w14:textId="77777777" w:rsidR="00A317A3" w:rsidRPr="00A317A3" w:rsidRDefault="00A317A3" w:rsidP="009B60D0">
      <w:pPr>
        <w:numPr>
          <w:ilvl w:val="3"/>
          <w:numId w:val="6"/>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Asthma present for 1 year or more</w:t>
      </w:r>
    </w:p>
    <w:p w14:paraId="7402BA5D" w14:textId="15726BC4" w:rsidR="00A317A3" w:rsidRPr="00A317A3" w:rsidRDefault="00A317A3" w:rsidP="009B60D0">
      <w:pPr>
        <w:numPr>
          <w:ilvl w:val="3"/>
          <w:numId w:val="7"/>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Need for treatment escalation, moderate to severe asthma, as indicated by </w:t>
      </w:r>
      <w:r w:rsidRPr="00A317A3">
        <w:rPr>
          <w:rFonts w:ascii="Futura" w:eastAsia="Calibri" w:hAnsi="Futura" w:cs="Calibri"/>
          <w:b/>
          <w:bCs/>
          <w:color w:val="000000"/>
          <w:sz w:val="20"/>
          <w:szCs w:val="20"/>
          <w:lang w:bidi="en-US"/>
        </w:rPr>
        <w:t>1 or more</w:t>
      </w:r>
      <w:r w:rsidRPr="00A317A3">
        <w:rPr>
          <w:rFonts w:ascii="Futura" w:eastAsia="Calibri" w:hAnsi="Futura" w:cs="Calibri"/>
          <w:color w:val="000000"/>
          <w:sz w:val="20"/>
          <w:szCs w:val="20"/>
          <w:lang w:bidi="en-US"/>
        </w:rPr>
        <w:t> of the following</w:t>
      </w:r>
      <w:bookmarkStart w:id="24" w:name="cl_c_58"/>
      <w:bookmarkStart w:id="25" w:name="cl_c_57"/>
      <w:bookmarkStart w:id="26" w:name="cl_c_59"/>
      <w:bookmarkStart w:id="27" w:name="cl_c_60"/>
      <w:bookmarkStart w:id="28" w:name="cl_c_61"/>
      <w:bookmarkEnd w:id="24"/>
      <w:bookmarkEnd w:id="25"/>
      <w:bookmarkEnd w:id="26"/>
      <w:bookmarkEnd w:id="27"/>
      <w:bookmarkEnd w:id="28"/>
      <w:r w:rsidRPr="00A317A3">
        <w:rPr>
          <w:rFonts w:ascii="Futura" w:eastAsia="Calibri" w:hAnsi="Futura" w:cs="Calibri"/>
          <w:color w:val="000000"/>
          <w:sz w:val="20"/>
          <w:szCs w:val="20"/>
          <w:lang w:bidi="en-US"/>
        </w:rPr>
        <w:t>:</w:t>
      </w:r>
    </w:p>
    <w:p w14:paraId="27B46D9C" w14:textId="77777777" w:rsidR="00A317A3" w:rsidRPr="00A317A3" w:rsidRDefault="00A317A3" w:rsidP="009B60D0">
      <w:pPr>
        <w:numPr>
          <w:ilvl w:val="4"/>
          <w:numId w:val="8"/>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Remains uncontrolled despite treatment with medium-dose or high-dose inhaled corticosteroids plus long-acting beta-agonist</w:t>
      </w:r>
    </w:p>
    <w:p w14:paraId="4FDDBBD5" w14:textId="77777777" w:rsidR="00A317A3" w:rsidRPr="00A317A3" w:rsidRDefault="00A317A3" w:rsidP="009B60D0">
      <w:pPr>
        <w:numPr>
          <w:ilvl w:val="4"/>
          <w:numId w:val="9"/>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Requires maintenance treatment with medium-dose or high-dose inhaled corticosteroids plus long-acting beta-agonist to achieve asthma symptom control</w:t>
      </w:r>
    </w:p>
    <w:p w14:paraId="087BC322" w14:textId="34C6F1E2" w:rsidR="00A317A3" w:rsidRPr="00A317A3" w:rsidRDefault="00A317A3" w:rsidP="009B60D0">
      <w:pPr>
        <w:numPr>
          <w:ilvl w:val="3"/>
          <w:numId w:val="10"/>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Omalizumab not being used as monotherapy for asthma</w:t>
      </w:r>
      <w:bookmarkStart w:id="29" w:name="cl_c_62"/>
      <w:bookmarkEnd w:id="29"/>
    </w:p>
    <w:p w14:paraId="0EF9A048" w14:textId="2B0560FE" w:rsidR="00A317A3" w:rsidRPr="00A317A3" w:rsidRDefault="00A317A3" w:rsidP="009B60D0">
      <w:pPr>
        <w:numPr>
          <w:ilvl w:val="3"/>
          <w:numId w:val="11"/>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Prebronchodilator FEV</w:t>
      </w:r>
      <w:r w:rsidRPr="00A317A3">
        <w:rPr>
          <w:rFonts w:ascii="Futura" w:eastAsia="Calibri" w:hAnsi="Futura" w:cs="Calibri"/>
          <w:color w:val="000000"/>
          <w:sz w:val="20"/>
          <w:szCs w:val="20"/>
          <w:vertAlign w:val="subscript"/>
          <w:lang w:bidi="en-US"/>
        </w:rPr>
        <w:t>1</w:t>
      </w:r>
      <w:r w:rsidRPr="00A317A3">
        <w:rPr>
          <w:rFonts w:ascii="Futura" w:eastAsia="Calibri" w:hAnsi="Futura" w:cs="Calibri"/>
          <w:color w:val="000000"/>
          <w:sz w:val="20"/>
          <w:szCs w:val="20"/>
          <w:lang w:bidi="en-US"/>
        </w:rPr>
        <w:t> of 80% predicted or less</w:t>
      </w:r>
      <w:bookmarkStart w:id="30" w:name="cl_c_63"/>
      <w:bookmarkEnd w:id="30"/>
    </w:p>
    <w:p w14:paraId="1986B516" w14:textId="122632AB" w:rsidR="00A317A3" w:rsidRPr="00A317A3" w:rsidRDefault="00A317A3" w:rsidP="009B60D0">
      <w:pPr>
        <w:numPr>
          <w:ilvl w:val="3"/>
          <w:numId w:val="12"/>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Specific allergen sensitivity documented, as indicated by </w:t>
      </w:r>
      <w:r w:rsidRPr="00A317A3">
        <w:rPr>
          <w:rFonts w:ascii="Futura" w:eastAsia="Calibri" w:hAnsi="Futura" w:cs="Calibri"/>
          <w:b/>
          <w:bCs/>
          <w:color w:val="000000"/>
          <w:sz w:val="20"/>
          <w:szCs w:val="20"/>
          <w:lang w:bidi="en-US"/>
        </w:rPr>
        <w:t>1 or more</w:t>
      </w:r>
      <w:r w:rsidRPr="00A317A3">
        <w:rPr>
          <w:rFonts w:ascii="Futura" w:eastAsia="Calibri" w:hAnsi="Futura" w:cs="Calibri"/>
          <w:color w:val="000000"/>
          <w:sz w:val="20"/>
          <w:szCs w:val="20"/>
          <w:lang w:bidi="en-US"/>
        </w:rPr>
        <w:t> of the following</w:t>
      </w:r>
      <w:bookmarkStart w:id="31" w:name="cl_c_64"/>
      <w:bookmarkStart w:id="32" w:name="cl_c_65"/>
      <w:bookmarkEnd w:id="31"/>
      <w:bookmarkEnd w:id="32"/>
      <w:r w:rsidRPr="00A317A3">
        <w:rPr>
          <w:rFonts w:ascii="Futura" w:eastAsia="Calibri" w:hAnsi="Futura" w:cs="Calibri"/>
          <w:color w:val="000000"/>
          <w:sz w:val="20"/>
          <w:szCs w:val="20"/>
          <w:lang w:bidi="en-US"/>
        </w:rPr>
        <w:t>:</w:t>
      </w:r>
    </w:p>
    <w:p w14:paraId="5FDDD90B" w14:textId="68D78176" w:rsidR="00A317A3" w:rsidRPr="00A317A3" w:rsidRDefault="00A317A3" w:rsidP="009B60D0">
      <w:pPr>
        <w:numPr>
          <w:ilvl w:val="4"/>
          <w:numId w:val="13"/>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Positive skin testing for perennial aeroallergen (</w:t>
      </w:r>
      <w:r w:rsidR="00B166E4" w:rsidRPr="00A317A3">
        <w:rPr>
          <w:rFonts w:ascii="Futura" w:eastAsia="Calibri" w:hAnsi="Futura" w:cs="Calibri"/>
          <w:color w:val="000000"/>
          <w:sz w:val="20"/>
          <w:szCs w:val="20"/>
          <w:lang w:bidi="en-US"/>
        </w:rPr>
        <w:t>e.g.</w:t>
      </w:r>
      <w:r w:rsidRPr="00A317A3">
        <w:rPr>
          <w:rFonts w:ascii="Futura" w:eastAsia="Calibri" w:hAnsi="Futura" w:cs="Calibri"/>
          <w:color w:val="000000"/>
          <w:sz w:val="20"/>
          <w:szCs w:val="20"/>
          <w:lang w:bidi="en-US"/>
        </w:rPr>
        <w:t>, cat, cockroach, dust mite, dog, mice, mold)</w:t>
      </w:r>
    </w:p>
    <w:p w14:paraId="5CDC62D8" w14:textId="6119CA6E" w:rsidR="00A317A3" w:rsidRPr="00A317A3" w:rsidRDefault="00A317A3" w:rsidP="009B60D0">
      <w:pPr>
        <w:numPr>
          <w:ilvl w:val="4"/>
          <w:numId w:val="1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Positive specific IgE level for at least one perennial aeroallergen (</w:t>
      </w:r>
      <w:r w:rsidR="00B166E4" w:rsidRPr="00A317A3">
        <w:rPr>
          <w:rFonts w:ascii="Futura" w:eastAsia="Calibri" w:hAnsi="Futura" w:cs="Calibri"/>
          <w:color w:val="000000"/>
          <w:sz w:val="20"/>
          <w:szCs w:val="20"/>
          <w:lang w:bidi="en-US"/>
        </w:rPr>
        <w:t>e.g.</w:t>
      </w:r>
      <w:r w:rsidRPr="00A317A3">
        <w:rPr>
          <w:rFonts w:ascii="Futura" w:eastAsia="Calibri" w:hAnsi="Futura" w:cs="Calibri"/>
          <w:color w:val="000000"/>
          <w:sz w:val="20"/>
          <w:szCs w:val="20"/>
          <w:lang w:bidi="en-US"/>
        </w:rPr>
        <w:t>, cat, cockroach, dust mite, dog, mice, mold)</w:t>
      </w:r>
      <w:bookmarkStart w:id="33" w:name="cl_c_66"/>
      <w:bookmarkStart w:id="34" w:name="cl_c_67"/>
      <w:bookmarkEnd w:id="33"/>
      <w:bookmarkEnd w:id="34"/>
      <w:r w:rsidR="00B166E4" w:rsidRPr="00A317A3">
        <w:rPr>
          <w:rFonts w:ascii="Futura" w:eastAsia="Calibri" w:hAnsi="Futura" w:cs="Calibri"/>
          <w:color w:val="000000"/>
          <w:sz w:val="20"/>
          <w:szCs w:val="20"/>
          <w:lang w:bidi="en-US"/>
        </w:rPr>
        <w:t xml:space="preserve"> </w:t>
      </w:r>
    </w:p>
    <w:p w14:paraId="0DC8EF3C" w14:textId="6D8A20CF" w:rsidR="00A317A3" w:rsidRPr="00A317A3" w:rsidRDefault="00A317A3" w:rsidP="009B60D0">
      <w:pPr>
        <w:numPr>
          <w:ilvl w:val="3"/>
          <w:numId w:val="15"/>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lastRenderedPageBreak/>
        <w:t>Total serum IgE of 30 International Units per milliliter (IU/mL) (kIU/L) or greater at baseline</w:t>
      </w:r>
      <w:bookmarkStart w:id="35" w:name="cl_c_68"/>
      <w:bookmarkEnd w:id="35"/>
    </w:p>
    <w:p w14:paraId="708E8073" w14:textId="56460DC4"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Subsequent course, as indicated by </w:t>
      </w:r>
      <w:r w:rsidR="00B166E4" w:rsidRPr="00A317A3">
        <w:rPr>
          <w:rFonts w:ascii="Futura" w:eastAsia="Calibri" w:hAnsi="Futura" w:cs="Calibri"/>
          <w:b/>
          <w:bCs/>
          <w:color w:val="000000"/>
          <w:sz w:val="20"/>
          <w:szCs w:val="20"/>
          <w:lang w:bidi="en-US"/>
        </w:rPr>
        <w:t>ALL</w:t>
      </w:r>
      <w:r w:rsidRPr="00A317A3">
        <w:rPr>
          <w:rFonts w:ascii="Futura" w:eastAsia="Calibri" w:hAnsi="Futura" w:cs="Calibri"/>
          <w:color w:val="000000"/>
          <w:sz w:val="20"/>
          <w:szCs w:val="20"/>
          <w:lang w:bidi="en-US"/>
        </w:rPr>
        <w:t xml:space="preserve"> the following</w:t>
      </w:r>
      <w:bookmarkStart w:id="36" w:name="cl_c_69"/>
      <w:bookmarkEnd w:id="36"/>
      <w:r w:rsidRPr="00A317A3">
        <w:rPr>
          <w:rFonts w:ascii="Futura" w:eastAsia="Calibri" w:hAnsi="Futura" w:cs="Calibri"/>
          <w:color w:val="000000"/>
          <w:sz w:val="20"/>
          <w:szCs w:val="20"/>
          <w:lang w:bidi="en-US"/>
        </w:rPr>
        <w:t>:</w:t>
      </w:r>
    </w:p>
    <w:p w14:paraId="25E2A9B3" w14:textId="77777777" w:rsidR="00A317A3" w:rsidRPr="00A317A3" w:rsidRDefault="00A317A3" w:rsidP="009B60D0">
      <w:pPr>
        <w:numPr>
          <w:ilvl w:val="3"/>
          <w:numId w:val="16"/>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Age 6 years or older</w:t>
      </w:r>
    </w:p>
    <w:p w14:paraId="0394FD7D" w14:textId="15881A09" w:rsidR="00A317A3" w:rsidRPr="00A317A3" w:rsidRDefault="00A317A3" w:rsidP="009B60D0">
      <w:pPr>
        <w:numPr>
          <w:ilvl w:val="3"/>
          <w:numId w:val="17"/>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Omalizumab not being used as monotherapy for asthma</w:t>
      </w:r>
      <w:bookmarkStart w:id="37" w:name="cl_c_70"/>
      <w:bookmarkEnd w:id="37"/>
    </w:p>
    <w:p w14:paraId="05CD6680" w14:textId="77777777" w:rsidR="00A317A3" w:rsidRPr="00A317A3" w:rsidRDefault="00A317A3" w:rsidP="009B60D0">
      <w:pPr>
        <w:numPr>
          <w:ilvl w:val="3"/>
          <w:numId w:val="18"/>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Favorable response to prior administration of omalizumab</w:t>
      </w:r>
    </w:p>
    <w:p w14:paraId="33E1F7EB" w14:textId="4D8941DD" w:rsidR="00A317A3" w:rsidRPr="00A317A3" w:rsidRDefault="00A317A3" w:rsidP="009B60D0">
      <w:pPr>
        <w:numPr>
          <w:ilvl w:val="1"/>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 Chronic rhinosinusitis with nasal polyposis,</w:t>
      </w:r>
      <w:r w:rsidR="00B166E4" w:rsidRPr="00A317A3">
        <w:rPr>
          <w:rFonts w:ascii="Futura" w:eastAsia="Calibri" w:hAnsi="Futura" w:cs="Calibri"/>
          <w:color w:val="000000"/>
          <w:sz w:val="20"/>
          <w:szCs w:val="20"/>
          <w:lang w:bidi="en-US"/>
        </w:rPr>
        <w:t xml:space="preserve"> </w:t>
      </w:r>
      <w:r w:rsidRPr="00A317A3">
        <w:rPr>
          <w:rFonts w:ascii="Futura" w:eastAsia="Calibri" w:hAnsi="Futura" w:cs="Calibri"/>
          <w:color w:val="000000"/>
          <w:sz w:val="20"/>
          <w:szCs w:val="20"/>
          <w:lang w:bidi="en-US"/>
        </w:rPr>
        <w:t>as indicated by </w:t>
      </w:r>
      <w:r w:rsidR="00B166E4" w:rsidRPr="00A317A3">
        <w:rPr>
          <w:rFonts w:ascii="Futura" w:eastAsia="Calibri" w:hAnsi="Futura" w:cs="Calibri"/>
          <w:b/>
          <w:bCs/>
          <w:color w:val="000000"/>
          <w:sz w:val="20"/>
          <w:szCs w:val="20"/>
          <w:lang w:bidi="en-US"/>
        </w:rPr>
        <w:t>ALL</w:t>
      </w:r>
      <w:r w:rsidRPr="00A317A3">
        <w:rPr>
          <w:rFonts w:ascii="Futura" w:eastAsia="Calibri" w:hAnsi="Futura" w:cs="Calibri"/>
          <w:color w:val="000000"/>
          <w:sz w:val="20"/>
          <w:szCs w:val="20"/>
          <w:lang w:bidi="en-US"/>
        </w:rPr>
        <w:t xml:space="preserve"> the following</w:t>
      </w:r>
      <w:bookmarkStart w:id="38" w:name="cl_c_73"/>
      <w:bookmarkEnd w:id="38"/>
      <w:r w:rsidRPr="00A317A3">
        <w:rPr>
          <w:rFonts w:ascii="Futura" w:eastAsia="Calibri" w:hAnsi="Futura" w:cs="Calibri"/>
          <w:color w:val="000000"/>
          <w:sz w:val="20"/>
          <w:szCs w:val="20"/>
          <w:lang w:bidi="en-US"/>
        </w:rPr>
        <w:t>:</w:t>
      </w:r>
    </w:p>
    <w:p w14:paraId="7EF0CDC8" w14:textId="77777777"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Age 18 years or older</w:t>
      </w:r>
    </w:p>
    <w:p w14:paraId="77136292" w14:textId="77777777"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Omalizumab not being used as monotherapy for chronic rhinosinusitis with nasal polyposis</w:t>
      </w:r>
    </w:p>
    <w:p w14:paraId="3DB9710D" w14:textId="0DD1F449"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Symptoms have not responded adequately to 1 or more months of intranasal corticosteroid.</w:t>
      </w:r>
      <w:bookmarkStart w:id="39" w:name="cl_c_76"/>
      <w:bookmarkEnd w:id="39"/>
      <w:r w:rsidR="00B166E4" w:rsidRPr="00A317A3">
        <w:rPr>
          <w:rFonts w:ascii="Futura" w:eastAsia="Calibri" w:hAnsi="Futura" w:cs="Calibri"/>
          <w:color w:val="000000"/>
          <w:sz w:val="20"/>
          <w:szCs w:val="20"/>
          <w:lang w:bidi="en-US"/>
        </w:rPr>
        <w:t xml:space="preserve"> </w:t>
      </w:r>
    </w:p>
    <w:p w14:paraId="0E32DCDD" w14:textId="1B2DD9E1" w:rsidR="00A317A3" w:rsidRPr="00A317A3" w:rsidRDefault="00A317A3" w:rsidP="009B60D0">
      <w:pPr>
        <w:numPr>
          <w:ilvl w:val="1"/>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 Chronic spontaneous (idiopathic) urticaria, as indicated by </w:t>
      </w:r>
      <w:r w:rsidR="00B166E4" w:rsidRPr="00A317A3">
        <w:rPr>
          <w:rFonts w:ascii="Futura" w:eastAsia="Calibri" w:hAnsi="Futura" w:cs="Calibri"/>
          <w:b/>
          <w:bCs/>
          <w:color w:val="000000"/>
          <w:sz w:val="20"/>
          <w:szCs w:val="20"/>
          <w:lang w:bidi="en-US"/>
        </w:rPr>
        <w:t>ALL</w:t>
      </w:r>
      <w:r w:rsidRPr="00A317A3">
        <w:rPr>
          <w:rFonts w:ascii="Futura" w:eastAsia="Calibri" w:hAnsi="Futura" w:cs="Calibri"/>
          <w:color w:val="000000"/>
          <w:sz w:val="20"/>
          <w:szCs w:val="20"/>
          <w:lang w:bidi="en-US"/>
        </w:rPr>
        <w:t xml:space="preserve"> the following</w:t>
      </w:r>
      <w:bookmarkStart w:id="40" w:name="cl_c_81"/>
      <w:bookmarkEnd w:id="40"/>
      <w:r w:rsidRPr="00A317A3">
        <w:rPr>
          <w:rFonts w:ascii="Futura" w:eastAsia="Calibri" w:hAnsi="Futura" w:cs="Calibri"/>
          <w:color w:val="000000"/>
          <w:sz w:val="20"/>
          <w:szCs w:val="20"/>
          <w:lang w:bidi="en-US"/>
        </w:rPr>
        <w:t>:</w:t>
      </w:r>
    </w:p>
    <w:p w14:paraId="504FB54B" w14:textId="7E06714E"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Age 12 years or older</w:t>
      </w:r>
      <w:bookmarkStart w:id="41" w:name="cl_c_91"/>
      <w:bookmarkEnd w:id="41"/>
    </w:p>
    <w:p w14:paraId="1CEAE221" w14:textId="77777777"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History of chronic spontaneous urticaria for at least 6 months</w:t>
      </w:r>
    </w:p>
    <w:p w14:paraId="79F1C455" w14:textId="53F2FC75"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Persistent hives with itching for at least 8 consecutive weeks despite adequate trial of H1-antihistamines</w:t>
      </w:r>
      <w:bookmarkStart w:id="42" w:name="cl_c_92"/>
      <w:bookmarkStart w:id="43" w:name="cl_c_93"/>
      <w:bookmarkEnd w:id="42"/>
      <w:bookmarkEnd w:id="43"/>
      <w:r w:rsidR="00B166E4" w:rsidRPr="00A317A3">
        <w:rPr>
          <w:rFonts w:ascii="Futura" w:eastAsia="Calibri" w:hAnsi="Futura" w:cs="Calibri"/>
          <w:color w:val="000000"/>
          <w:sz w:val="20"/>
          <w:szCs w:val="20"/>
          <w:lang w:bidi="en-US"/>
        </w:rPr>
        <w:t xml:space="preserve"> </w:t>
      </w:r>
    </w:p>
    <w:p w14:paraId="4B05E17F" w14:textId="77777777"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No known underlying cause of chronic urticaria</w:t>
      </w:r>
    </w:p>
    <w:p w14:paraId="3BA89F47" w14:textId="5BCB6835" w:rsidR="00A317A3" w:rsidRPr="00A317A3" w:rsidRDefault="00A317A3" w:rsidP="009B60D0">
      <w:pPr>
        <w:numPr>
          <w:ilvl w:val="1"/>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 IgE-mediated food allergy,</w:t>
      </w:r>
      <w:r w:rsidR="00B166E4" w:rsidRPr="00A317A3">
        <w:rPr>
          <w:rFonts w:ascii="Futura" w:eastAsia="Calibri" w:hAnsi="Futura" w:cs="Calibri"/>
          <w:color w:val="000000"/>
          <w:sz w:val="20"/>
          <w:szCs w:val="20"/>
          <w:lang w:bidi="en-US"/>
        </w:rPr>
        <w:t xml:space="preserve"> </w:t>
      </w:r>
      <w:r w:rsidRPr="00A317A3">
        <w:rPr>
          <w:rFonts w:ascii="Futura" w:eastAsia="Calibri" w:hAnsi="Futura" w:cs="Calibri"/>
          <w:color w:val="000000"/>
          <w:sz w:val="20"/>
          <w:szCs w:val="20"/>
          <w:lang w:bidi="en-US"/>
        </w:rPr>
        <w:t>as indicated by </w:t>
      </w:r>
      <w:r w:rsidR="00900A5B" w:rsidRPr="00A317A3">
        <w:rPr>
          <w:rFonts w:ascii="Futura" w:eastAsia="Calibri" w:hAnsi="Futura" w:cs="Calibri"/>
          <w:b/>
          <w:bCs/>
          <w:color w:val="000000"/>
          <w:sz w:val="20"/>
          <w:szCs w:val="20"/>
          <w:lang w:bidi="en-US"/>
        </w:rPr>
        <w:t>ALL</w:t>
      </w:r>
      <w:r w:rsidRPr="00A317A3">
        <w:rPr>
          <w:rFonts w:ascii="Futura" w:eastAsia="Calibri" w:hAnsi="Futura" w:cs="Calibri"/>
          <w:color w:val="000000"/>
          <w:sz w:val="20"/>
          <w:szCs w:val="20"/>
          <w:lang w:bidi="en-US"/>
        </w:rPr>
        <w:t xml:space="preserve"> the following</w:t>
      </w:r>
      <w:bookmarkStart w:id="44" w:name="cl_c_95"/>
      <w:bookmarkEnd w:id="44"/>
      <w:r w:rsidRPr="00A317A3">
        <w:rPr>
          <w:rFonts w:ascii="Futura" w:eastAsia="Calibri" w:hAnsi="Futura" w:cs="Calibri"/>
          <w:color w:val="000000"/>
          <w:sz w:val="20"/>
          <w:szCs w:val="20"/>
          <w:lang w:bidi="en-US"/>
        </w:rPr>
        <w:t>:</w:t>
      </w:r>
    </w:p>
    <w:p w14:paraId="4EF32DF9" w14:textId="77777777"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Age 1 year or older</w:t>
      </w:r>
    </w:p>
    <w:p w14:paraId="623798B9" w14:textId="7CB67909"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Documented allergic response to oral challenge with one or more foods (</w:t>
      </w:r>
      <w:r w:rsidR="00B166E4" w:rsidRPr="00A317A3">
        <w:rPr>
          <w:rFonts w:ascii="Futura" w:eastAsia="Calibri" w:hAnsi="Futura" w:cs="Calibri"/>
          <w:color w:val="000000"/>
          <w:sz w:val="20"/>
          <w:szCs w:val="20"/>
          <w:lang w:bidi="en-US"/>
        </w:rPr>
        <w:t>e.g.</w:t>
      </w:r>
      <w:r w:rsidRPr="00A317A3">
        <w:rPr>
          <w:rFonts w:ascii="Futura" w:eastAsia="Calibri" w:hAnsi="Futura" w:cs="Calibri"/>
          <w:color w:val="000000"/>
          <w:sz w:val="20"/>
          <w:szCs w:val="20"/>
          <w:lang w:bidi="en-US"/>
        </w:rPr>
        <w:t>, peanut, cashew, milk, eggs, walnut, wheat, hazelnut)</w:t>
      </w:r>
    </w:p>
    <w:p w14:paraId="09EAE74C" w14:textId="38F73B3D" w:rsidR="00A317A3" w:rsidRPr="00A317A3" w:rsidRDefault="00A317A3" w:rsidP="009B60D0">
      <w:pPr>
        <w:numPr>
          <w:ilvl w:val="2"/>
          <w:numId w:val="4"/>
        </w:numPr>
        <w:spacing w:after="0" w:line="240" w:lineRule="auto"/>
        <w:jc w:val="both"/>
        <w:rPr>
          <w:rFonts w:ascii="Futura" w:eastAsia="Calibri" w:hAnsi="Futura" w:cs="Calibri"/>
          <w:color w:val="000000"/>
          <w:sz w:val="20"/>
          <w:szCs w:val="20"/>
          <w:lang w:bidi="en-US"/>
        </w:rPr>
      </w:pPr>
      <w:r w:rsidRPr="00A317A3">
        <w:rPr>
          <w:rFonts w:ascii="Futura" w:eastAsia="Calibri" w:hAnsi="Futura" w:cs="Calibri"/>
          <w:color w:val="000000"/>
          <w:sz w:val="20"/>
          <w:szCs w:val="20"/>
          <w:lang w:bidi="en-US"/>
        </w:rPr>
        <w:t xml:space="preserve">Omalizumab </w:t>
      </w:r>
      <w:r w:rsidR="00B166E4" w:rsidRPr="00A317A3">
        <w:rPr>
          <w:rFonts w:ascii="Futura" w:eastAsia="Calibri" w:hAnsi="Futura" w:cs="Calibri"/>
          <w:color w:val="000000"/>
          <w:sz w:val="20"/>
          <w:szCs w:val="20"/>
          <w:lang w:bidi="en-US"/>
        </w:rPr>
        <w:t>is used</w:t>
      </w:r>
      <w:r w:rsidRPr="00A317A3">
        <w:rPr>
          <w:rFonts w:ascii="Futura" w:eastAsia="Calibri" w:hAnsi="Futura" w:cs="Calibri"/>
          <w:color w:val="000000"/>
          <w:sz w:val="20"/>
          <w:szCs w:val="20"/>
          <w:lang w:bidi="en-US"/>
        </w:rPr>
        <w:t xml:space="preserve"> in conjunction with food allergen avoidance</w:t>
      </w:r>
    </w:p>
    <w:p w14:paraId="0DFE5C25" w14:textId="77777777" w:rsidR="00A317A3" w:rsidRDefault="00A317A3" w:rsidP="00554794">
      <w:pPr>
        <w:spacing w:after="0" w:line="240" w:lineRule="auto"/>
        <w:jc w:val="both"/>
        <w:rPr>
          <w:rFonts w:ascii="Futura" w:eastAsia="Calibri" w:hAnsi="Futura" w:cs="Calibri"/>
          <w:color w:val="000000"/>
          <w:sz w:val="20"/>
          <w:szCs w:val="20"/>
          <w:lang w:bidi="en-US"/>
        </w:rPr>
      </w:pPr>
    </w:p>
    <w:p w14:paraId="2A4E5167" w14:textId="77777777" w:rsidR="000268B7" w:rsidRDefault="000268B7" w:rsidP="00554794">
      <w:pPr>
        <w:spacing w:after="0" w:line="240" w:lineRule="auto"/>
        <w:jc w:val="both"/>
        <w:rPr>
          <w:rFonts w:ascii="Futura" w:eastAsia="Calibri" w:hAnsi="Futura" w:cs="Calibri"/>
          <w:color w:val="000000"/>
          <w:sz w:val="20"/>
          <w:szCs w:val="20"/>
          <w:lang w:bidi="en-US"/>
        </w:rPr>
      </w:pPr>
    </w:p>
    <w:p w14:paraId="767810EB" w14:textId="77777777" w:rsidR="00B166E4" w:rsidRDefault="000268B7" w:rsidP="00554794">
      <w:pPr>
        <w:spacing w:after="0" w:line="240" w:lineRule="auto"/>
        <w:jc w:val="both"/>
        <w:rPr>
          <w:rFonts w:ascii="Futura" w:eastAsia="Calibri" w:hAnsi="Futura" w:cs="Calibri"/>
          <w:color w:val="000000"/>
          <w:sz w:val="20"/>
          <w:szCs w:val="20"/>
          <w:lang w:bidi="en-US"/>
        </w:rPr>
      </w:pPr>
      <w:r w:rsidRPr="00B166E4">
        <w:rPr>
          <w:rFonts w:ascii="Futura" w:eastAsia="Calibri" w:hAnsi="Futura" w:cs="Calibri"/>
          <w:b/>
          <w:bCs/>
          <w:color w:val="000000"/>
          <w:sz w:val="28"/>
          <w:szCs w:val="28"/>
          <w:lang w:bidi="en-US"/>
        </w:rPr>
        <w:t>TEZSPIRE</w:t>
      </w:r>
      <w:r w:rsidRPr="000268B7">
        <w:rPr>
          <w:rFonts w:ascii="Futura" w:eastAsia="Calibri" w:hAnsi="Futura" w:cs="Calibri"/>
          <w:color w:val="000000"/>
          <w:sz w:val="20"/>
          <w:szCs w:val="20"/>
          <w:lang w:bidi="en-US"/>
        </w:rPr>
        <w:t xml:space="preserve"> is a thymic stromal lymphopoietin (TSLP) blocker, human monoclonal antibody (IgG2λ), indicated for the add-on maintenance treatment of adult and pediatric patients aged 12 years and older with severe asthma.</w:t>
      </w:r>
    </w:p>
    <w:p w14:paraId="3A7E1464" w14:textId="77777777" w:rsidR="00B166E4" w:rsidRDefault="00B166E4" w:rsidP="00554794">
      <w:pPr>
        <w:spacing w:after="0" w:line="240" w:lineRule="auto"/>
        <w:jc w:val="both"/>
        <w:rPr>
          <w:rFonts w:ascii="Futura" w:eastAsia="Calibri" w:hAnsi="Futura" w:cs="Calibri"/>
          <w:color w:val="000000"/>
          <w:sz w:val="20"/>
          <w:szCs w:val="20"/>
          <w:lang w:bidi="en-US"/>
        </w:rPr>
      </w:pPr>
    </w:p>
    <w:p w14:paraId="0273C3C8" w14:textId="77777777" w:rsidR="00B166E4" w:rsidRDefault="000268B7" w:rsidP="00554794">
      <w:pPr>
        <w:spacing w:after="0" w:line="240" w:lineRule="auto"/>
        <w:jc w:val="both"/>
        <w:rPr>
          <w:rFonts w:ascii="Futura" w:eastAsia="Calibri" w:hAnsi="Futura" w:cs="Calibri"/>
          <w:color w:val="000000"/>
          <w:sz w:val="20"/>
          <w:szCs w:val="20"/>
          <w:lang w:bidi="en-US"/>
        </w:rPr>
      </w:pPr>
      <w:r w:rsidRPr="000268B7">
        <w:rPr>
          <w:rFonts w:ascii="Futura" w:eastAsia="Calibri" w:hAnsi="Futura" w:cs="Calibri"/>
          <w:color w:val="000000"/>
          <w:sz w:val="20"/>
          <w:szCs w:val="20"/>
          <w:lang w:bidi="en-US"/>
        </w:rPr>
        <w:t>Limitations of Use:</w:t>
      </w:r>
    </w:p>
    <w:p w14:paraId="4723D67B" w14:textId="77777777" w:rsidR="00B166E4" w:rsidRDefault="000268B7" w:rsidP="00554794">
      <w:pPr>
        <w:spacing w:after="0" w:line="240" w:lineRule="auto"/>
        <w:jc w:val="both"/>
        <w:rPr>
          <w:rFonts w:ascii="Futura" w:eastAsia="Calibri" w:hAnsi="Futura" w:cs="Calibri"/>
          <w:color w:val="000000"/>
          <w:sz w:val="20"/>
          <w:szCs w:val="20"/>
          <w:lang w:bidi="en-US"/>
        </w:rPr>
      </w:pPr>
      <w:r w:rsidRPr="000268B7">
        <w:rPr>
          <w:rFonts w:ascii="Futura" w:eastAsia="Calibri" w:hAnsi="Futura" w:cs="Calibri"/>
          <w:color w:val="000000"/>
          <w:sz w:val="20"/>
          <w:szCs w:val="20"/>
          <w:lang w:bidi="en-US"/>
        </w:rPr>
        <w:t>• Not for relief of acute bronchospasm or status asthmaticus.</w:t>
      </w:r>
    </w:p>
    <w:p w14:paraId="11C57195" w14:textId="77777777" w:rsidR="00B166E4" w:rsidRDefault="00B166E4" w:rsidP="00554794">
      <w:pPr>
        <w:spacing w:after="0" w:line="240" w:lineRule="auto"/>
        <w:jc w:val="both"/>
        <w:rPr>
          <w:rFonts w:ascii="Futura" w:eastAsia="Calibri" w:hAnsi="Futura" w:cs="Calibri"/>
          <w:color w:val="000000"/>
          <w:sz w:val="20"/>
          <w:szCs w:val="20"/>
          <w:lang w:bidi="en-US"/>
        </w:rPr>
      </w:pPr>
    </w:p>
    <w:p w14:paraId="17C15635" w14:textId="77777777" w:rsidR="00B166E4" w:rsidRDefault="000268B7" w:rsidP="00554794">
      <w:pPr>
        <w:spacing w:after="0" w:line="240" w:lineRule="auto"/>
        <w:jc w:val="both"/>
        <w:rPr>
          <w:rFonts w:ascii="Futura" w:eastAsia="Calibri" w:hAnsi="Futura" w:cs="Calibri"/>
          <w:color w:val="000000"/>
          <w:sz w:val="20"/>
          <w:szCs w:val="20"/>
          <w:lang w:bidi="en-US"/>
        </w:rPr>
      </w:pPr>
      <w:r w:rsidRPr="000268B7">
        <w:rPr>
          <w:rFonts w:ascii="Futura" w:eastAsia="Calibri" w:hAnsi="Futura" w:cs="Calibri"/>
          <w:color w:val="000000"/>
          <w:sz w:val="20"/>
          <w:szCs w:val="20"/>
          <w:lang w:bidi="en-US"/>
        </w:rPr>
        <w:t>DOSAGE AND ADMINISTRATION</w:t>
      </w:r>
    </w:p>
    <w:p w14:paraId="00D8C19C" w14:textId="77777777" w:rsidR="00B166E4" w:rsidRDefault="000268B7" w:rsidP="00554794">
      <w:pPr>
        <w:spacing w:after="0" w:line="240" w:lineRule="auto"/>
        <w:jc w:val="both"/>
        <w:rPr>
          <w:rFonts w:ascii="Futura" w:eastAsia="Calibri" w:hAnsi="Futura" w:cs="Calibri"/>
          <w:color w:val="000000"/>
          <w:sz w:val="20"/>
          <w:szCs w:val="20"/>
          <w:lang w:bidi="en-US"/>
        </w:rPr>
      </w:pPr>
      <w:r w:rsidRPr="000268B7">
        <w:rPr>
          <w:rFonts w:ascii="Futura" w:eastAsia="Calibri" w:hAnsi="Futura" w:cs="Calibri"/>
          <w:color w:val="000000"/>
          <w:sz w:val="20"/>
          <w:szCs w:val="20"/>
          <w:lang w:bidi="en-US"/>
        </w:rPr>
        <w:t xml:space="preserve">• Administer by subcutaneous injection. </w:t>
      </w:r>
    </w:p>
    <w:p w14:paraId="0139F756" w14:textId="6E868509" w:rsidR="00B166E4" w:rsidRDefault="000268B7" w:rsidP="00554794">
      <w:pPr>
        <w:spacing w:after="0" w:line="240" w:lineRule="auto"/>
        <w:jc w:val="both"/>
        <w:rPr>
          <w:rFonts w:ascii="Futura" w:eastAsia="Calibri" w:hAnsi="Futura" w:cs="Calibri"/>
          <w:color w:val="000000"/>
          <w:sz w:val="20"/>
          <w:szCs w:val="20"/>
          <w:lang w:bidi="en-US"/>
        </w:rPr>
      </w:pPr>
      <w:r w:rsidRPr="000268B7">
        <w:rPr>
          <w:rFonts w:ascii="Futura" w:eastAsia="Calibri" w:hAnsi="Futura" w:cs="Calibri"/>
          <w:color w:val="000000"/>
          <w:sz w:val="20"/>
          <w:szCs w:val="20"/>
          <w:lang w:bidi="en-US"/>
        </w:rPr>
        <w:t>• Recommended dosage is 210 mg administered once every 4 weeks.</w:t>
      </w:r>
    </w:p>
    <w:p w14:paraId="1ADD88EF" w14:textId="16882D2E" w:rsidR="000268B7" w:rsidRDefault="000268B7" w:rsidP="00554794">
      <w:pPr>
        <w:spacing w:after="0" w:line="240" w:lineRule="auto"/>
        <w:jc w:val="both"/>
        <w:rPr>
          <w:rFonts w:ascii="Futura" w:eastAsia="Calibri" w:hAnsi="Futura" w:cs="Calibri"/>
          <w:color w:val="000000"/>
          <w:sz w:val="20"/>
          <w:szCs w:val="20"/>
          <w:lang w:bidi="en-US"/>
        </w:rPr>
      </w:pPr>
      <w:r w:rsidRPr="000268B7">
        <w:rPr>
          <w:rFonts w:ascii="Futura" w:eastAsia="Calibri" w:hAnsi="Futura" w:cs="Calibri"/>
          <w:color w:val="000000"/>
          <w:sz w:val="20"/>
          <w:szCs w:val="20"/>
          <w:lang w:bidi="en-US"/>
        </w:rPr>
        <w:t>• See full prescribing information for preparation and administration instructions.</w:t>
      </w:r>
    </w:p>
    <w:p w14:paraId="2FCA8AAC" w14:textId="77777777" w:rsidR="00DC1EAA" w:rsidRDefault="00DC1EAA" w:rsidP="00BE46CE">
      <w:pPr>
        <w:spacing w:after="0" w:line="240" w:lineRule="auto"/>
        <w:jc w:val="both"/>
        <w:rPr>
          <w:rFonts w:ascii="Futura" w:eastAsia="Calibri" w:hAnsi="Futura" w:cs="Calibri"/>
          <w:color w:val="000000"/>
          <w:sz w:val="20"/>
          <w:szCs w:val="20"/>
          <w:lang w:bidi="en-US"/>
        </w:rPr>
      </w:pPr>
    </w:p>
    <w:p w14:paraId="447DA1A9" w14:textId="298D115F" w:rsidR="00BE46CE" w:rsidRPr="00BE46CE" w:rsidRDefault="00DC1EAA" w:rsidP="00BE46CE">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T</w:t>
      </w:r>
      <w:r w:rsidR="00BE46CE" w:rsidRPr="00BE46CE">
        <w:rPr>
          <w:rFonts w:ascii="Futura" w:eastAsia="Calibri" w:hAnsi="Futura" w:cs="Calibri"/>
          <w:color w:val="000000"/>
          <w:sz w:val="20"/>
          <w:szCs w:val="20"/>
          <w:lang w:bidi="en-US"/>
        </w:rPr>
        <w:t>ezepelumab-ekko may be indicated when </w:t>
      </w:r>
      <w:r w:rsidRPr="00BE46CE">
        <w:rPr>
          <w:rFonts w:ascii="Futura" w:eastAsia="Calibri" w:hAnsi="Futura" w:cs="Calibri"/>
          <w:b/>
          <w:bCs/>
          <w:color w:val="000000"/>
          <w:sz w:val="20"/>
          <w:szCs w:val="20"/>
          <w:lang w:bidi="en-US"/>
        </w:rPr>
        <w:t>ALL</w:t>
      </w:r>
      <w:r w:rsidR="00BE46CE" w:rsidRPr="00BE46CE">
        <w:rPr>
          <w:rFonts w:ascii="Futura" w:eastAsia="Calibri" w:hAnsi="Futura" w:cs="Calibri"/>
          <w:color w:val="000000"/>
          <w:sz w:val="20"/>
          <w:szCs w:val="20"/>
          <w:lang w:bidi="en-US"/>
        </w:rPr>
        <w:t xml:space="preserve"> the following are present:</w:t>
      </w:r>
    </w:p>
    <w:p w14:paraId="22AFAFB5" w14:textId="77777777" w:rsidR="00BE46CE" w:rsidRPr="00BE46CE" w:rsidRDefault="00BE46CE" w:rsidP="00BE46CE">
      <w:pPr>
        <w:numPr>
          <w:ilvl w:val="0"/>
          <w:numId w:val="39"/>
        </w:numPr>
        <w:spacing w:after="0" w:line="240" w:lineRule="auto"/>
        <w:jc w:val="both"/>
        <w:rPr>
          <w:rFonts w:ascii="Futura" w:eastAsia="Calibri" w:hAnsi="Futura" w:cs="Calibri"/>
          <w:color w:val="000000"/>
          <w:sz w:val="20"/>
          <w:szCs w:val="20"/>
          <w:lang w:bidi="en-US"/>
        </w:rPr>
      </w:pPr>
      <w:r w:rsidRPr="00BE46CE">
        <w:rPr>
          <w:rFonts w:ascii="Futura" w:eastAsia="Calibri" w:hAnsi="Futura" w:cs="Calibri"/>
          <w:color w:val="000000"/>
          <w:sz w:val="20"/>
          <w:szCs w:val="20"/>
          <w:lang w:bidi="en-US"/>
        </w:rPr>
        <w:t>Age 12 years or older</w:t>
      </w:r>
    </w:p>
    <w:p w14:paraId="48F46807" w14:textId="4659248D" w:rsidR="00BE46CE" w:rsidRPr="00BE46CE" w:rsidRDefault="00BE46CE" w:rsidP="00BE46CE">
      <w:pPr>
        <w:numPr>
          <w:ilvl w:val="0"/>
          <w:numId w:val="40"/>
        </w:numPr>
        <w:spacing w:after="0" w:line="240" w:lineRule="auto"/>
        <w:jc w:val="both"/>
        <w:rPr>
          <w:rFonts w:ascii="Futura" w:eastAsia="Calibri" w:hAnsi="Futura" w:cs="Calibri"/>
          <w:color w:val="000000"/>
          <w:sz w:val="20"/>
          <w:szCs w:val="20"/>
          <w:lang w:bidi="en-US"/>
        </w:rPr>
      </w:pPr>
      <w:r w:rsidRPr="00BE46CE">
        <w:rPr>
          <w:rFonts w:ascii="Futura" w:eastAsia="Calibri" w:hAnsi="Futura" w:cs="Calibri"/>
          <w:color w:val="000000"/>
          <w:sz w:val="20"/>
          <w:szCs w:val="20"/>
          <w:lang w:bidi="en-US"/>
        </w:rPr>
        <w:t>Asthma, severe</w:t>
      </w:r>
    </w:p>
    <w:p w14:paraId="6347B400" w14:textId="64DC0DA3" w:rsidR="00BE46CE" w:rsidRPr="00BE46CE" w:rsidRDefault="00BE46CE" w:rsidP="00BE46CE">
      <w:pPr>
        <w:numPr>
          <w:ilvl w:val="0"/>
          <w:numId w:val="41"/>
        </w:numPr>
        <w:spacing w:after="0" w:line="240" w:lineRule="auto"/>
        <w:jc w:val="both"/>
        <w:rPr>
          <w:rFonts w:ascii="Futura" w:eastAsia="Calibri" w:hAnsi="Futura" w:cs="Calibri"/>
          <w:color w:val="000000"/>
          <w:sz w:val="20"/>
          <w:szCs w:val="20"/>
          <w:lang w:bidi="en-US"/>
        </w:rPr>
      </w:pPr>
      <w:r w:rsidRPr="00BE46CE">
        <w:rPr>
          <w:rFonts w:ascii="Futura" w:eastAsia="Calibri" w:hAnsi="Futura" w:cs="Calibri"/>
          <w:color w:val="000000"/>
          <w:sz w:val="20"/>
          <w:szCs w:val="20"/>
          <w:lang w:bidi="en-US"/>
        </w:rPr>
        <w:t>Need for treatment escalation, severe asthma, as indicated by </w:t>
      </w:r>
      <w:r w:rsidRPr="00BE46CE">
        <w:rPr>
          <w:rFonts w:ascii="Futura" w:eastAsia="Calibri" w:hAnsi="Futura" w:cs="Calibri"/>
          <w:b/>
          <w:bCs/>
          <w:color w:val="000000"/>
          <w:sz w:val="20"/>
          <w:szCs w:val="20"/>
          <w:lang w:bidi="en-US"/>
        </w:rPr>
        <w:t>1 or more</w:t>
      </w:r>
      <w:r w:rsidRPr="00BE46CE">
        <w:rPr>
          <w:rFonts w:ascii="Futura" w:eastAsia="Calibri" w:hAnsi="Futura" w:cs="Calibri"/>
          <w:color w:val="000000"/>
          <w:sz w:val="20"/>
          <w:szCs w:val="20"/>
          <w:lang w:bidi="en-US"/>
        </w:rPr>
        <w:t> of the following</w:t>
      </w:r>
      <w:bookmarkStart w:id="45" w:name="cl_c_14"/>
      <w:bookmarkEnd w:id="45"/>
      <w:r w:rsidRPr="00BE46CE">
        <w:rPr>
          <w:rFonts w:ascii="Futura" w:eastAsia="Calibri" w:hAnsi="Futura" w:cs="Calibri"/>
          <w:color w:val="000000"/>
          <w:sz w:val="20"/>
          <w:szCs w:val="20"/>
          <w:lang w:bidi="en-US"/>
        </w:rPr>
        <w:t>:</w:t>
      </w:r>
    </w:p>
    <w:p w14:paraId="50D14D93" w14:textId="0E1ED6BC" w:rsidR="00BE46CE" w:rsidRPr="00BE46CE" w:rsidRDefault="00BE46CE" w:rsidP="00BE46CE">
      <w:pPr>
        <w:numPr>
          <w:ilvl w:val="1"/>
          <w:numId w:val="42"/>
        </w:numPr>
        <w:spacing w:after="0" w:line="240" w:lineRule="auto"/>
        <w:jc w:val="both"/>
        <w:rPr>
          <w:rFonts w:ascii="Futura" w:eastAsia="Calibri" w:hAnsi="Futura" w:cs="Calibri"/>
          <w:color w:val="000000"/>
          <w:sz w:val="20"/>
          <w:szCs w:val="20"/>
          <w:lang w:bidi="en-US"/>
        </w:rPr>
      </w:pPr>
      <w:r w:rsidRPr="00BE46CE">
        <w:rPr>
          <w:rFonts w:ascii="Futura" w:eastAsia="Calibri" w:hAnsi="Futura" w:cs="Calibri"/>
          <w:color w:val="000000"/>
          <w:sz w:val="20"/>
          <w:szCs w:val="20"/>
          <w:lang w:bidi="en-US"/>
        </w:rPr>
        <w:t>Remains uncontrolled despite treatment with high-dose inhaled corticosteroids plus second controller (</w:t>
      </w:r>
      <w:r w:rsidR="00DC1EAA" w:rsidRPr="00BE46CE">
        <w:rPr>
          <w:rFonts w:ascii="Futura" w:eastAsia="Calibri" w:hAnsi="Futura" w:cs="Calibri"/>
          <w:color w:val="000000"/>
          <w:sz w:val="20"/>
          <w:szCs w:val="20"/>
          <w:lang w:bidi="en-US"/>
        </w:rPr>
        <w:t>e.g.</w:t>
      </w:r>
      <w:r w:rsidRPr="00BE46CE">
        <w:rPr>
          <w:rFonts w:ascii="Futura" w:eastAsia="Calibri" w:hAnsi="Futura" w:cs="Calibri"/>
          <w:color w:val="000000"/>
          <w:sz w:val="20"/>
          <w:szCs w:val="20"/>
          <w:lang w:bidi="en-US"/>
        </w:rPr>
        <w:t>, long-acting beta-agonist, leukotriene modifier, long-acting muscarinic antagonist, oral corticosteroids)</w:t>
      </w:r>
    </w:p>
    <w:p w14:paraId="0899D79F" w14:textId="5488ACBC" w:rsidR="00BE46CE" w:rsidRPr="00BE46CE" w:rsidRDefault="00BE46CE" w:rsidP="00BE46CE">
      <w:pPr>
        <w:numPr>
          <w:ilvl w:val="1"/>
          <w:numId w:val="43"/>
        </w:numPr>
        <w:spacing w:after="0" w:line="240" w:lineRule="auto"/>
        <w:jc w:val="both"/>
        <w:rPr>
          <w:rFonts w:ascii="Futura" w:eastAsia="Calibri" w:hAnsi="Futura" w:cs="Calibri"/>
          <w:color w:val="000000"/>
          <w:sz w:val="20"/>
          <w:szCs w:val="20"/>
          <w:lang w:bidi="en-US"/>
        </w:rPr>
      </w:pPr>
      <w:r w:rsidRPr="00BE46CE">
        <w:rPr>
          <w:rFonts w:ascii="Futura" w:eastAsia="Calibri" w:hAnsi="Futura" w:cs="Calibri"/>
          <w:color w:val="000000"/>
          <w:sz w:val="20"/>
          <w:szCs w:val="20"/>
          <w:lang w:bidi="en-US"/>
        </w:rPr>
        <w:t>Requires maintenance treatment with high-dose inhaled corticosteroids plus second controller (</w:t>
      </w:r>
      <w:r w:rsidR="00DC1EAA" w:rsidRPr="00BE46CE">
        <w:rPr>
          <w:rFonts w:ascii="Futura" w:eastAsia="Calibri" w:hAnsi="Futura" w:cs="Calibri"/>
          <w:color w:val="000000"/>
          <w:sz w:val="20"/>
          <w:szCs w:val="20"/>
          <w:lang w:bidi="en-US"/>
        </w:rPr>
        <w:t>e.g.</w:t>
      </w:r>
      <w:r w:rsidRPr="00BE46CE">
        <w:rPr>
          <w:rFonts w:ascii="Futura" w:eastAsia="Calibri" w:hAnsi="Futura" w:cs="Calibri"/>
          <w:color w:val="000000"/>
          <w:sz w:val="20"/>
          <w:szCs w:val="20"/>
          <w:lang w:bidi="en-US"/>
        </w:rPr>
        <w:t>, long-acting beta-agonist, leukotriene modifier, long-acting muscarinic antagonist, oral corticosteroids) to remain in control</w:t>
      </w:r>
    </w:p>
    <w:p w14:paraId="10F1B2BA" w14:textId="77777777" w:rsidR="00BE46CE" w:rsidRPr="00BE46CE" w:rsidRDefault="00BE46CE" w:rsidP="00BE46CE">
      <w:pPr>
        <w:numPr>
          <w:ilvl w:val="0"/>
          <w:numId w:val="44"/>
        </w:numPr>
        <w:spacing w:after="0" w:line="240" w:lineRule="auto"/>
        <w:jc w:val="both"/>
        <w:rPr>
          <w:rFonts w:ascii="Futura" w:eastAsia="Calibri" w:hAnsi="Futura" w:cs="Calibri"/>
          <w:color w:val="000000"/>
          <w:sz w:val="20"/>
          <w:szCs w:val="20"/>
          <w:lang w:bidi="en-US"/>
        </w:rPr>
      </w:pPr>
      <w:r w:rsidRPr="00BE46CE">
        <w:rPr>
          <w:rFonts w:ascii="Futura" w:eastAsia="Calibri" w:hAnsi="Futura" w:cs="Calibri"/>
          <w:color w:val="000000"/>
          <w:sz w:val="20"/>
          <w:szCs w:val="20"/>
          <w:lang w:bidi="en-US"/>
        </w:rPr>
        <w:t>Tezepelumab-ekko not being used as monotherapy for asthma</w:t>
      </w:r>
    </w:p>
    <w:p w14:paraId="23623362" w14:textId="77777777" w:rsidR="00BE46CE" w:rsidRPr="00BE46CE" w:rsidRDefault="00BE46CE" w:rsidP="00BE46CE">
      <w:pPr>
        <w:numPr>
          <w:ilvl w:val="0"/>
          <w:numId w:val="45"/>
        </w:numPr>
        <w:spacing w:after="0" w:line="240" w:lineRule="auto"/>
        <w:jc w:val="both"/>
        <w:rPr>
          <w:rFonts w:ascii="Futura" w:eastAsia="Calibri" w:hAnsi="Futura" w:cs="Calibri"/>
          <w:color w:val="000000"/>
          <w:sz w:val="20"/>
          <w:szCs w:val="20"/>
          <w:lang w:bidi="en-US"/>
        </w:rPr>
      </w:pPr>
      <w:r w:rsidRPr="00BE46CE">
        <w:rPr>
          <w:rFonts w:ascii="Futura" w:eastAsia="Calibri" w:hAnsi="Futura" w:cs="Calibri"/>
          <w:color w:val="000000"/>
          <w:sz w:val="20"/>
          <w:szCs w:val="20"/>
          <w:lang w:bidi="en-US"/>
        </w:rPr>
        <w:t>No active parasitic infection</w:t>
      </w:r>
    </w:p>
    <w:p w14:paraId="0959F7B8" w14:textId="77777777" w:rsidR="00BE46CE" w:rsidRPr="00BE46CE" w:rsidRDefault="00BE46CE" w:rsidP="00BE46CE">
      <w:pPr>
        <w:numPr>
          <w:ilvl w:val="0"/>
          <w:numId w:val="46"/>
        </w:numPr>
        <w:spacing w:after="0" w:line="240" w:lineRule="auto"/>
        <w:jc w:val="both"/>
        <w:rPr>
          <w:rFonts w:ascii="Futura" w:eastAsia="Calibri" w:hAnsi="Futura" w:cs="Calibri"/>
          <w:color w:val="000000"/>
          <w:sz w:val="20"/>
          <w:szCs w:val="20"/>
          <w:lang w:bidi="en-US"/>
        </w:rPr>
      </w:pPr>
      <w:r w:rsidRPr="00BE46CE">
        <w:rPr>
          <w:rFonts w:ascii="Futura" w:eastAsia="Calibri" w:hAnsi="Futura" w:cs="Calibri"/>
          <w:color w:val="000000"/>
          <w:sz w:val="20"/>
          <w:szCs w:val="20"/>
          <w:lang w:bidi="en-US"/>
        </w:rPr>
        <w:t>No concurrent use of live vaccine</w:t>
      </w:r>
    </w:p>
    <w:p w14:paraId="73F04085" w14:textId="240C0CBB" w:rsidR="000268B7" w:rsidRDefault="000268B7" w:rsidP="00554794">
      <w:pPr>
        <w:spacing w:after="0" w:line="240" w:lineRule="auto"/>
        <w:jc w:val="both"/>
        <w:rPr>
          <w:rFonts w:ascii="Futura" w:eastAsia="Calibri" w:hAnsi="Futura" w:cs="Calibri"/>
          <w:color w:val="000000"/>
          <w:sz w:val="20"/>
          <w:szCs w:val="20"/>
          <w:lang w:bidi="en-US"/>
        </w:rPr>
      </w:pPr>
    </w:p>
    <w:p w14:paraId="7458D1C2" w14:textId="77777777" w:rsidR="00F325A6" w:rsidRDefault="00F325A6" w:rsidP="00554794">
      <w:pPr>
        <w:spacing w:after="0" w:line="240" w:lineRule="auto"/>
        <w:jc w:val="both"/>
        <w:rPr>
          <w:rFonts w:ascii="Futura" w:eastAsia="Calibri" w:hAnsi="Futura" w:cs="Calibri"/>
          <w:color w:val="000000"/>
          <w:sz w:val="20"/>
          <w:szCs w:val="20"/>
          <w:lang w:bidi="en-US"/>
        </w:rPr>
      </w:pPr>
    </w:p>
    <w:p w14:paraId="10FF8096" w14:textId="77777777" w:rsidR="00F325A6" w:rsidRDefault="00F325A6" w:rsidP="00554794">
      <w:pPr>
        <w:spacing w:after="0" w:line="240" w:lineRule="auto"/>
        <w:jc w:val="both"/>
        <w:rPr>
          <w:rFonts w:ascii="Futura" w:eastAsia="Calibri" w:hAnsi="Futura" w:cs="Calibri"/>
          <w:color w:val="000000"/>
          <w:sz w:val="20"/>
          <w:szCs w:val="20"/>
          <w:lang w:bidi="en-US"/>
        </w:rPr>
      </w:pPr>
    </w:p>
    <w:p w14:paraId="2CAB5346" w14:textId="77777777" w:rsidR="00F325A6" w:rsidRDefault="00F325A6" w:rsidP="00554794">
      <w:pPr>
        <w:spacing w:after="0" w:line="240" w:lineRule="auto"/>
        <w:jc w:val="both"/>
        <w:rPr>
          <w:rFonts w:ascii="Futura" w:eastAsia="Calibri" w:hAnsi="Futura" w:cs="Calibri"/>
          <w:color w:val="000000"/>
          <w:sz w:val="20"/>
          <w:szCs w:val="20"/>
          <w:lang w:bidi="en-US"/>
        </w:rPr>
      </w:pPr>
    </w:p>
    <w:p w14:paraId="607B85F5" w14:textId="77777777" w:rsidR="00F325A6" w:rsidRDefault="00F325A6" w:rsidP="00554794">
      <w:pPr>
        <w:spacing w:after="0" w:line="240" w:lineRule="auto"/>
        <w:jc w:val="both"/>
        <w:rPr>
          <w:rFonts w:ascii="Futura" w:eastAsia="Calibri" w:hAnsi="Futura" w:cs="Calibri"/>
          <w:color w:val="000000"/>
          <w:sz w:val="20"/>
          <w:szCs w:val="20"/>
          <w:lang w:bidi="en-US"/>
        </w:rPr>
      </w:pPr>
    </w:p>
    <w:p w14:paraId="09A8D45F" w14:textId="77777777" w:rsidR="00F325A6" w:rsidRDefault="00F325A6" w:rsidP="00554794">
      <w:pPr>
        <w:spacing w:after="0" w:line="240" w:lineRule="auto"/>
        <w:jc w:val="both"/>
        <w:rPr>
          <w:rFonts w:ascii="Futura" w:eastAsia="Calibri" w:hAnsi="Futura" w:cs="Calibri"/>
          <w:color w:val="000000"/>
          <w:sz w:val="20"/>
          <w:szCs w:val="20"/>
          <w:lang w:bidi="en-US"/>
        </w:rPr>
      </w:pPr>
    </w:p>
    <w:p w14:paraId="00295D19" w14:textId="77777777" w:rsidR="009F51BE" w:rsidRDefault="009F51BE" w:rsidP="009F51BE">
      <w:pPr>
        <w:spacing w:after="0" w:line="240" w:lineRule="auto"/>
        <w:rPr>
          <w:rFonts w:ascii="Futura" w:eastAsia="Calibri" w:hAnsi="Futura" w:cs="Calibri"/>
          <w:color w:val="000000"/>
          <w:sz w:val="20"/>
          <w:szCs w:val="20"/>
          <w:lang w:bidi="en-US"/>
        </w:rPr>
      </w:pPr>
    </w:p>
    <w:p w14:paraId="2ED2793B" w14:textId="2919B873" w:rsidR="00320403" w:rsidRDefault="00DC1B0C" w:rsidP="00320403">
      <w:pPr>
        <w:spacing w:after="0" w:line="240" w:lineRule="auto"/>
        <w:rPr>
          <w:rFonts w:ascii="Futura" w:hAnsi="Futura"/>
          <w:b/>
          <w:bCs/>
          <w:color w:val="00AEDB"/>
          <w:sz w:val="24"/>
          <w:szCs w:val="24"/>
        </w:rPr>
      </w:pPr>
      <w:r>
        <w:rPr>
          <w:rFonts w:ascii="Futura" w:hAnsi="Futura"/>
          <w:b/>
          <w:bCs/>
          <w:color w:val="00AEDB"/>
          <w:sz w:val="24"/>
          <w:szCs w:val="24"/>
        </w:rPr>
        <w:t>Duration</w:t>
      </w:r>
      <w:r w:rsidR="009C2524">
        <w:rPr>
          <w:rFonts w:ascii="Futura" w:hAnsi="Futura"/>
          <w:b/>
          <w:bCs/>
          <w:color w:val="00AEDB"/>
          <w:sz w:val="24"/>
          <w:szCs w:val="24"/>
        </w:rPr>
        <w:t xml:space="preserve"> of approval</w:t>
      </w:r>
      <w:r w:rsidR="00320403">
        <w:rPr>
          <w:rFonts w:ascii="Futura" w:hAnsi="Futura"/>
          <w:b/>
          <w:bCs/>
          <w:color w:val="00AEDB"/>
          <w:sz w:val="24"/>
          <w:szCs w:val="24"/>
        </w:rPr>
        <w:t>:</w:t>
      </w:r>
    </w:p>
    <w:p w14:paraId="5B8192B7" w14:textId="77777777" w:rsidR="00320403" w:rsidRDefault="00320403" w:rsidP="00320403">
      <w:pPr>
        <w:spacing w:after="0" w:line="240" w:lineRule="auto"/>
        <w:rPr>
          <w:rFonts w:ascii="Futura" w:eastAsia="Calibri" w:hAnsi="Futura" w:cs="Calibri"/>
          <w:b/>
          <w:bCs/>
          <w:color w:val="000000"/>
          <w:sz w:val="20"/>
          <w:szCs w:val="20"/>
          <w:lang w:bidi="en-US"/>
        </w:rPr>
      </w:pPr>
    </w:p>
    <w:p w14:paraId="08068DBB" w14:textId="19AF3EB7" w:rsidR="00542D9D" w:rsidRPr="00C96407" w:rsidRDefault="009C2524" w:rsidP="00320403">
      <w:pPr>
        <w:spacing w:after="0" w:line="240" w:lineRule="auto"/>
        <w:rPr>
          <w:rFonts w:ascii="Futura" w:hAnsi="Futura"/>
          <w:sz w:val="24"/>
          <w:szCs w:val="24"/>
        </w:rPr>
      </w:pPr>
      <w:r w:rsidRPr="00C96407">
        <w:rPr>
          <w:rFonts w:ascii="Futura" w:hAnsi="Futura"/>
          <w:b/>
          <w:bCs/>
          <w:sz w:val="24"/>
          <w:szCs w:val="24"/>
        </w:rPr>
        <w:t>I</w:t>
      </w:r>
      <w:r w:rsidR="00DC1B0C" w:rsidRPr="00C96407">
        <w:rPr>
          <w:rFonts w:ascii="Futura" w:hAnsi="Futura"/>
          <w:b/>
          <w:bCs/>
          <w:sz w:val="24"/>
          <w:szCs w:val="24"/>
        </w:rPr>
        <w:t>nitial authorization</w:t>
      </w:r>
      <w:r w:rsidR="00DC1B0C" w:rsidRPr="00C96407">
        <w:rPr>
          <w:rFonts w:ascii="Futura" w:hAnsi="Futura"/>
          <w:sz w:val="24"/>
          <w:szCs w:val="24"/>
        </w:rPr>
        <w:t xml:space="preserve">: Length requested, </w:t>
      </w:r>
      <w:r w:rsidR="00B8376A" w:rsidRPr="00C96407">
        <w:rPr>
          <w:rFonts w:ascii="Futura" w:hAnsi="Futura"/>
          <w:sz w:val="24"/>
          <w:szCs w:val="24"/>
        </w:rPr>
        <w:t xml:space="preserve">length specified in the indication above (if applicable), or </w:t>
      </w:r>
      <w:r w:rsidR="007B6A6F">
        <w:rPr>
          <w:rFonts w:ascii="Futura" w:hAnsi="Futura"/>
          <w:sz w:val="24"/>
          <w:szCs w:val="24"/>
        </w:rPr>
        <w:t>12</w:t>
      </w:r>
      <w:r w:rsidR="00B8376A" w:rsidRPr="00C96407">
        <w:rPr>
          <w:rFonts w:ascii="Futura" w:hAnsi="Futura"/>
          <w:sz w:val="24"/>
          <w:szCs w:val="24"/>
        </w:rPr>
        <w:t xml:space="preserve"> months, whichever is shortest</w:t>
      </w:r>
    </w:p>
    <w:p w14:paraId="4C701B58" w14:textId="77777777" w:rsidR="00B8376A" w:rsidRPr="00C96407" w:rsidRDefault="00B8376A" w:rsidP="00320403">
      <w:pPr>
        <w:spacing w:after="0" w:line="240" w:lineRule="auto"/>
        <w:rPr>
          <w:rFonts w:ascii="Futura" w:hAnsi="Futura"/>
          <w:sz w:val="24"/>
          <w:szCs w:val="24"/>
        </w:rPr>
      </w:pPr>
    </w:p>
    <w:p w14:paraId="40EDAC36" w14:textId="5163999F" w:rsidR="00B8376A" w:rsidRPr="00C96407" w:rsidRDefault="00B8376A" w:rsidP="00320403">
      <w:pPr>
        <w:spacing w:after="0" w:line="240" w:lineRule="auto"/>
        <w:rPr>
          <w:rFonts w:ascii="Futura" w:hAnsi="Futura"/>
          <w:sz w:val="24"/>
          <w:szCs w:val="24"/>
        </w:rPr>
      </w:pPr>
      <w:r w:rsidRPr="00C96407">
        <w:rPr>
          <w:rFonts w:ascii="Futura" w:hAnsi="Futura"/>
          <w:b/>
          <w:bCs/>
          <w:sz w:val="24"/>
          <w:szCs w:val="24"/>
        </w:rPr>
        <w:t>Reauthorization</w:t>
      </w:r>
      <w:r w:rsidRPr="00C96407">
        <w:rPr>
          <w:rFonts w:ascii="Futura" w:hAnsi="Futura"/>
          <w:sz w:val="24"/>
          <w:szCs w:val="24"/>
        </w:rPr>
        <w:t xml:space="preserve">: </w:t>
      </w:r>
      <w:r w:rsidR="00C96407" w:rsidRPr="00C96407">
        <w:rPr>
          <w:rFonts w:ascii="Futura" w:hAnsi="Futura"/>
          <w:sz w:val="24"/>
          <w:szCs w:val="24"/>
        </w:rPr>
        <w:t>Length requested, length specified in the indication above (if applicable), or 12 months, whichever is shortest</w:t>
      </w:r>
    </w:p>
    <w:p w14:paraId="0323F364" w14:textId="77777777" w:rsidR="00C96407" w:rsidRDefault="00C96407" w:rsidP="00320403">
      <w:pPr>
        <w:spacing w:after="0" w:line="240" w:lineRule="auto"/>
        <w:rPr>
          <w:rFonts w:ascii="Futura" w:hAnsi="Futura"/>
          <w:b/>
          <w:bCs/>
          <w:color w:val="00AEDB"/>
          <w:sz w:val="24"/>
          <w:szCs w:val="24"/>
        </w:rPr>
      </w:pPr>
    </w:p>
    <w:p w14:paraId="6080660B" w14:textId="062258A2" w:rsidR="00320403" w:rsidRDefault="00CD2097" w:rsidP="00320403">
      <w:pPr>
        <w:spacing w:after="0" w:line="240" w:lineRule="auto"/>
        <w:rPr>
          <w:rFonts w:ascii="Futura" w:hAnsi="Futura"/>
          <w:b/>
          <w:bCs/>
          <w:color w:val="00AEDB"/>
          <w:sz w:val="24"/>
          <w:szCs w:val="24"/>
        </w:rPr>
      </w:pPr>
      <w:r>
        <w:rPr>
          <w:rFonts w:ascii="Futura" w:hAnsi="Futura"/>
          <w:b/>
          <w:bCs/>
          <w:color w:val="00AEDB"/>
          <w:sz w:val="24"/>
          <w:szCs w:val="24"/>
        </w:rPr>
        <w:t>Exception Criteria</w:t>
      </w:r>
      <w:r w:rsidR="00320403">
        <w:rPr>
          <w:rFonts w:ascii="Futura" w:hAnsi="Futura"/>
          <w:b/>
          <w:bCs/>
          <w:color w:val="00AEDB"/>
          <w:sz w:val="24"/>
          <w:szCs w:val="24"/>
        </w:rPr>
        <w:t>:</w:t>
      </w:r>
    </w:p>
    <w:p w14:paraId="58F1F639" w14:textId="77777777" w:rsidR="00C3149B" w:rsidRDefault="00C3149B" w:rsidP="00320403">
      <w:pPr>
        <w:spacing w:after="0" w:line="240" w:lineRule="auto"/>
        <w:rPr>
          <w:rFonts w:ascii="Futura" w:hAnsi="Futura"/>
          <w:b/>
          <w:bCs/>
          <w:color w:val="00AEDB"/>
          <w:sz w:val="24"/>
          <w:szCs w:val="24"/>
        </w:rPr>
      </w:pPr>
    </w:p>
    <w:p w14:paraId="11702901" w14:textId="0DC5A27F" w:rsidR="005C3DC3" w:rsidRDefault="00F95A1F" w:rsidP="009B60D0">
      <w:pPr>
        <w:pStyle w:val="ListParagraph"/>
        <w:numPr>
          <w:ilvl w:val="0"/>
          <w:numId w:val="3"/>
        </w:numPr>
        <w:spacing w:after="0" w:line="240" w:lineRule="auto"/>
        <w:rPr>
          <w:rFonts w:ascii="Futura" w:hAnsi="Futura"/>
          <w:sz w:val="24"/>
          <w:szCs w:val="24"/>
        </w:rPr>
      </w:pPr>
      <w:r>
        <w:rPr>
          <w:rFonts w:ascii="Futura" w:hAnsi="Futura"/>
          <w:sz w:val="24"/>
          <w:szCs w:val="24"/>
        </w:rPr>
        <w:t>Exception</w:t>
      </w:r>
      <w:r w:rsidR="00705F98">
        <w:rPr>
          <w:rFonts w:ascii="Futura" w:hAnsi="Futura"/>
          <w:sz w:val="24"/>
          <w:szCs w:val="24"/>
        </w:rPr>
        <w:t xml:space="preserve">s may need to be reviewed on multiple levels depending on the agent requested: </w:t>
      </w:r>
      <w:r w:rsidR="006C2777">
        <w:rPr>
          <w:rFonts w:ascii="Futura" w:hAnsi="Futura"/>
          <w:sz w:val="24"/>
          <w:szCs w:val="24"/>
        </w:rPr>
        <w:t xml:space="preserve">documentation of inadequate response, contraindication, adverse event or otherwise must be demonstrated for a </w:t>
      </w:r>
      <w:r w:rsidR="00997735">
        <w:rPr>
          <w:rFonts w:ascii="Futura" w:hAnsi="Futura"/>
          <w:sz w:val="24"/>
          <w:szCs w:val="24"/>
        </w:rPr>
        <w:t>preferred</w:t>
      </w:r>
      <w:r w:rsidR="006C2777">
        <w:rPr>
          <w:rFonts w:ascii="Futura" w:hAnsi="Futura"/>
          <w:sz w:val="24"/>
          <w:szCs w:val="24"/>
        </w:rPr>
        <w:t xml:space="preserve"> agent if request</w:t>
      </w:r>
      <w:r w:rsidR="00997735">
        <w:rPr>
          <w:rFonts w:ascii="Futura" w:hAnsi="Futura"/>
          <w:sz w:val="24"/>
          <w:szCs w:val="24"/>
        </w:rPr>
        <w:t xml:space="preserve">ing a secondary agent, and for </w:t>
      </w:r>
      <w:r w:rsidR="00AB6317">
        <w:rPr>
          <w:rFonts w:ascii="Futura" w:hAnsi="Futura"/>
          <w:sz w:val="24"/>
          <w:szCs w:val="24"/>
        </w:rPr>
        <w:t>preferred</w:t>
      </w:r>
      <w:r w:rsidR="00997735">
        <w:rPr>
          <w:rFonts w:ascii="Futura" w:hAnsi="Futura"/>
          <w:sz w:val="24"/>
          <w:szCs w:val="24"/>
        </w:rPr>
        <w:t xml:space="preserve"> and second</w:t>
      </w:r>
      <w:r w:rsidR="00AB6317">
        <w:rPr>
          <w:rFonts w:ascii="Futura" w:hAnsi="Futura"/>
          <w:sz w:val="24"/>
          <w:szCs w:val="24"/>
        </w:rPr>
        <w:t>ary agents if requesting a tertiary agent.</w:t>
      </w:r>
    </w:p>
    <w:p w14:paraId="6111E178" w14:textId="7F117B75" w:rsidR="0072503A" w:rsidRDefault="00002541" w:rsidP="009B60D0">
      <w:pPr>
        <w:pStyle w:val="ListParagraph"/>
        <w:numPr>
          <w:ilvl w:val="0"/>
          <w:numId w:val="3"/>
        </w:numPr>
        <w:spacing w:after="0" w:line="240" w:lineRule="auto"/>
        <w:rPr>
          <w:rFonts w:ascii="Futura" w:hAnsi="Futura"/>
          <w:sz w:val="24"/>
          <w:szCs w:val="24"/>
        </w:rPr>
      </w:pPr>
      <w:r>
        <w:rPr>
          <w:rFonts w:ascii="Futura" w:hAnsi="Futura"/>
          <w:sz w:val="24"/>
          <w:szCs w:val="24"/>
        </w:rPr>
        <w:t xml:space="preserve">Coverage for a secondary or tertiary agent will be considered if </w:t>
      </w:r>
      <w:r w:rsidR="00EF0772">
        <w:rPr>
          <w:rFonts w:ascii="Futura" w:hAnsi="Futura"/>
          <w:sz w:val="24"/>
          <w:szCs w:val="24"/>
        </w:rPr>
        <w:t xml:space="preserve">there is documentation of a continuation of therapy </w:t>
      </w:r>
      <w:r w:rsidR="0072503A">
        <w:rPr>
          <w:rFonts w:ascii="Futura" w:hAnsi="Futura"/>
          <w:sz w:val="24"/>
          <w:szCs w:val="24"/>
        </w:rPr>
        <w:t xml:space="preserve">within the past </w:t>
      </w:r>
      <w:r w:rsidR="00C52B65">
        <w:rPr>
          <w:rFonts w:ascii="Futura" w:hAnsi="Futura"/>
          <w:sz w:val="24"/>
          <w:szCs w:val="24"/>
        </w:rPr>
        <w:t>365</w:t>
      </w:r>
      <w:r w:rsidR="0072503A">
        <w:rPr>
          <w:rFonts w:ascii="Futura" w:hAnsi="Futura"/>
          <w:sz w:val="24"/>
          <w:szCs w:val="24"/>
        </w:rPr>
        <w:t xml:space="preserve"> days (if new) or if it is a reauthorization request.</w:t>
      </w:r>
    </w:p>
    <w:p w14:paraId="5E6C7085" w14:textId="08EB27E0" w:rsidR="007569C3" w:rsidRDefault="00856D17" w:rsidP="009B60D0">
      <w:pPr>
        <w:pStyle w:val="ListParagraph"/>
        <w:numPr>
          <w:ilvl w:val="0"/>
          <w:numId w:val="3"/>
        </w:numPr>
        <w:spacing w:after="0" w:line="240" w:lineRule="auto"/>
        <w:rPr>
          <w:rFonts w:ascii="Futura" w:hAnsi="Futura"/>
          <w:sz w:val="24"/>
          <w:szCs w:val="24"/>
        </w:rPr>
      </w:pPr>
      <w:r>
        <w:rPr>
          <w:rFonts w:ascii="Futura" w:hAnsi="Futura"/>
          <w:sz w:val="24"/>
          <w:szCs w:val="24"/>
        </w:rPr>
        <w:t xml:space="preserve">In either of the above situations, the product </w:t>
      </w:r>
      <w:r w:rsidR="009A5611">
        <w:rPr>
          <w:rFonts w:ascii="Futura" w:hAnsi="Futura"/>
          <w:sz w:val="24"/>
          <w:szCs w:val="24"/>
        </w:rPr>
        <w:t xml:space="preserve">being used cannot be based on </w:t>
      </w:r>
      <w:r w:rsidR="00900A5B">
        <w:rPr>
          <w:rFonts w:ascii="Futura" w:hAnsi="Futura"/>
          <w:sz w:val="24"/>
          <w:szCs w:val="24"/>
        </w:rPr>
        <w:t>the use</w:t>
      </w:r>
      <w:r w:rsidR="009A5611">
        <w:rPr>
          <w:rFonts w:ascii="Futura" w:hAnsi="Futura"/>
          <w:sz w:val="24"/>
          <w:szCs w:val="24"/>
        </w:rPr>
        <w:t xml:space="preserve"> of samples or products provided through manufacturer patient assistance programs.</w:t>
      </w:r>
      <w:r w:rsidR="007569C3" w:rsidRPr="007569C3">
        <w:rPr>
          <w:rFonts w:ascii="Futura" w:hAnsi="Futura"/>
          <w:sz w:val="24"/>
          <w:szCs w:val="24"/>
        </w:rPr>
        <w:t xml:space="preserve"> </w:t>
      </w:r>
    </w:p>
    <w:p w14:paraId="2CB2D8D3" w14:textId="7E9B5578" w:rsidR="00856D17" w:rsidRPr="007569C3" w:rsidRDefault="007569C3" w:rsidP="009B60D0">
      <w:pPr>
        <w:pStyle w:val="ListParagraph"/>
        <w:numPr>
          <w:ilvl w:val="0"/>
          <w:numId w:val="3"/>
        </w:numPr>
        <w:spacing w:after="0" w:line="240" w:lineRule="auto"/>
        <w:rPr>
          <w:rFonts w:ascii="Futura" w:hAnsi="Futura"/>
          <w:sz w:val="24"/>
          <w:szCs w:val="24"/>
        </w:rPr>
      </w:pPr>
      <w:r>
        <w:rPr>
          <w:rFonts w:ascii="Futura" w:hAnsi="Futura"/>
          <w:sz w:val="24"/>
          <w:szCs w:val="24"/>
        </w:rPr>
        <w:t>The PBM is responsible for processing Part D prior authorizations, redeterminations, exceptions and otherwise.  Please consult the most current formulary and prior authorization criteria for content.</w:t>
      </w:r>
    </w:p>
    <w:p w14:paraId="55CF9D8D" w14:textId="77777777" w:rsidR="00CD2097" w:rsidRDefault="00CD2097" w:rsidP="00320403">
      <w:pPr>
        <w:spacing w:after="0" w:line="240" w:lineRule="auto"/>
        <w:rPr>
          <w:rFonts w:ascii="Futura" w:hAnsi="Futura"/>
          <w:b/>
          <w:bCs/>
          <w:color w:val="00AEDB"/>
          <w:sz w:val="24"/>
          <w:szCs w:val="24"/>
        </w:rPr>
      </w:pPr>
    </w:p>
    <w:p w14:paraId="4577D0A3" w14:textId="0559CE6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 xml:space="preserve">Reference(s): </w:t>
      </w:r>
    </w:p>
    <w:p w14:paraId="208BE092" w14:textId="77777777" w:rsidR="00320403" w:rsidRDefault="00320403" w:rsidP="00320403">
      <w:pPr>
        <w:spacing w:after="0" w:line="240" w:lineRule="auto"/>
        <w:rPr>
          <w:rFonts w:ascii="Futura" w:hAnsi="Futura"/>
          <w:b/>
          <w:bCs/>
          <w:color w:val="00AEDB"/>
          <w:sz w:val="24"/>
          <w:szCs w:val="24"/>
        </w:rPr>
      </w:pPr>
    </w:p>
    <w:p w14:paraId="2FB0FFEE" w14:textId="6C7001FD" w:rsidR="006905E1" w:rsidRPr="008B66CF" w:rsidRDefault="007569C3" w:rsidP="009B60D0">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Cinqair</w:t>
      </w:r>
      <w:r w:rsidR="006905E1" w:rsidRPr="008B66CF">
        <w:rPr>
          <w:rFonts w:ascii="Futura" w:eastAsia="Calibri" w:hAnsi="Futura" w:cs="Calibri"/>
          <w:color w:val="000000"/>
          <w:sz w:val="20"/>
          <w:szCs w:val="20"/>
          <w:lang w:bidi="en-US"/>
        </w:rPr>
        <w:t xml:space="preserve"> package insert. </w:t>
      </w:r>
      <w:hyperlink r:id="rId11" w:history="1">
        <w:r w:rsidR="00664AFE">
          <w:rPr>
            <w:rStyle w:val="Hyperlink"/>
            <w:rFonts w:ascii="Futura" w:eastAsia="Calibri" w:hAnsi="Futura" w:cs="Calibri"/>
            <w:sz w:val="20"/>
            <w:szCs w:val="20"/>
            <w:lang w:bidi="en-US"/>
          </w:rPr>
          <w:t>https://www.cinqair.com/globalassets/cinqair/prescribinginformation.pdf</w:t>
        </w:r>
      </w:hyperlink>
    </w:p>
    <w:p w14:paraId="345725CD" w14:textId="2C95ED48" w:rsidR="006905E1" w:rsidRPr="008B66CF" w:rsidRDefault="007569C3" w:rsidP="009B60D0">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Fasenra</w:t>
      </w:r>
      <w:r w:rsidR="006905E1" w:rsidRPr="008B66CF">
        <w:rPr>
          <w:rFonts w:ascii="Futura" w:eastAsia="Calibri" w:hAnsi="Futura" w:cs="Calibri"/>
          <w:color w:val="000000"/>
          <w:sz w:val="20"/>
          <w:szCs w:val="20"/>
          <w:lang w:bidi="en-US"/>
        </w:rPr>
        <w:t xml:space="preserve"> package insert. </w:t>
      </w:r>
      <w:hyperlink r:id="rId12" w:history="1">
        <w:r w:rsidR="00AE109F">
          <w:rPr>
            <w:rStyle w:val="Hyperlink"/>
            <w:rFonts w:ascii="Futura" w:eastAsia="Calibri" w:hAnsi="Futura" w:cs="Calibri"/>
            <w:sz w:val="20"/>
            <w:szCs w:val="20"/>
            <w:lang w:bidi="en-US"/>
          </w:rPr>
          <w:t>https://den8dhaj6zs0e.cloudfront.net/50fd68b9-106b-4550-b5d0-12b045f8b184/3647bed4-ce91-4fe7-9bc5-32dbee73f80a/3647bed4-ce91-4fe7-9bc5-32dbee73f80a_viewable_rendition__v.pdf</w:t>
        </w:r>
      </w:hyperlink>
    </w:p>
    <w:p w14:paraId="0E52093C" w14:textId="29676F41" w:rsidR="006905E1" w:rsidRPr="008B66CF" w:rsidRDefault="007569C3" w:rsidP="009B60D0">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Nucala</w:t>
      </w:r>
      <w:r w:rsidR="006905E1" w:rsidRPr="008B66CF">
        <w:rPr>
          <w:rFonts w:ascii="Futura" w:eastAsia="Calibri" w:hAnsi="Futura" w:cs="Calibri"/>
          <w:color w:val="000000"/>
          <w:sz w:val="20"/>
          <w:szCs w:val="20"/>
          <w:lang w:bidi="en-US"/>
        </w:rPr>
        <w:t xml:space="preserve"> package insert.</w:t>
      </w:r>
      <w:r w:rsidR="000C7E39" w:rsidRPr="008B66CF">
        <w:t xml:space="preserve"> </w:t>
      </w:r>
      <w:hyperlink r:id="rId13" w:history="1">
        <w:r w:rsidR="00AE109F">
          <w:rPr>
            <w:rStyle w:val="Hyperlink"/>
          </w:rPr>
          <w:t>https://gskpro.com/content/dam/global/hcpportal/en_US/Prescribing_Information/Nucala/pdf/NUCALA-PI-PIL-IFU-COMBINED.PDF</w:t>
        </w:r>
      </w:hyperlink>
    </w:p>
    <w:p w14:paraId="7C38FB84" w14:textId="44957F54" w:rsidR="006905E1" w:rsidRPr="008B66CF" w:rsidRDefault="007569C3" w:rsidP="009B60D0">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Tezspire</w:t>
      </w:r>
      <w:r w:rsidR="006905E1" w:rsidRPr="008B66CF">
        <w:rPr>
          <w:rFonts w:ascii="Futura" w:eastAsia="Calibri" w:hAnsi="Futura" w:cs="Calibri"/>
          <w:color w:val="000000"/>
          <w:sz w:val="20"/>
          <w:szCs w:val="20"/>
          <w:lang w:bidi="en-US"/>
        </w:rPr>
        <w:t xml:space="preserve"> package insert. </w:t>
      </w:r>
      <w:hyperlink r:id="rId14" w:history="1">
        <w:r w:rsidR="00FA3616">
          <w:rPr>
            <w:rStyle w:val="Hyperlink"/>
            <w:rFonts w:ascii="Futura" w:eastAsia="Calibri" w:hAnsi="Futura" w:cs="Calibri"/>
            <w:sz w:val="20"/>
            <w:szCs w:val="20"/>
            <w:lang w:bidi="en-US"/>
          </w:rPr>
          <w:t>https://den8dhaj6zs0e.cloudfront.net/50fd68b9-106b-4550-b5d0-12b045f8b184/e306dc06-d580-4457-b15f-9f28545ad63a/e306dc06-d580-4457-b15f-9f28545ad63a_viewable_rendition__v.pdf</w:t>
        </w:r>
      </w:hyperlink>
    </w:p>
    <w:p w14:paraId="3115E40D" w14:textId="647D24DD" w:rsidR="006905E1" w:rsidRPr="008B66CF" w:rsidRDefault="007569C3" w:rsidP="009B60D0">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Xolair</w:t>
      </w:r>
      <w:r w:rsidR="006905E1" w:rsidRPr="008B66CF">
        <w:rPr>
          <w:rFonts w:ascii="Futura" w:eastAsia="Calibri" w:hAnsi="Futura" w:cs="Calibri"/>
          <w:color w:val="000000"/>
          <w:sz w:val="20"/>
          <w:szCs w:val="20"/>
          <w:lang w:bidi="en-US"/>
        </w:rPr>
        <w:t xml:space="preserve"> package insert. </w:t>
      </w:r>
      <w:hyperlink r:id="rId15" w:history="1">
        <w:r w:rsidR="00FA3616">
          <w:rPr>
            <w:rStyle w:val="Hyperlink"/>
            <w:rFonts w:ascii="Futura" w:eastAsia="Calibri" w:hAnsi="Futura" w:cs="Calibri"/>
            <w:sz w:val="20"/>
            <w:szCs w:val="20"/>
            <w:lang w:bidi="en-US"/>
          </w:rPr>
          <w:t>https://www.gene.com/download/pdf/xolair_prescribing.pdf</w:t>
        </w:r>
      </w:hyperlink>
    </w:p>
    <w:p w14:paraId="2A62542D" w14:textId="0E05B082" w:rsidR="00FA7C17" w:rsidRPr="00F64756" w:rsidRDefault="00F64756" w:rsidP="009B60D0">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eternalHealth Medicare Part B Prior Authorization List.  </w:t>
      </w:r>
      <w:hyperlink r:id="rId16" w:history="1">
        <w:r>
          <w:rPr>
            <w:rStyle w:val="Hyperlink"/>
            <w:rFonts w:ascii="Futura" w:eastAsia="Calibri" w:hAnsi="Futura" w:cs="Calibri"/>
            <w:sz w:val="20"/>
            <w:szCs w:val="20"/>
            <w:lang w:bidi="en-US"/>
          </w:rPr>
          <w:t>https://www.eternalhealth.com/wp-content/uploads/2022/10/eternalHealth_MA-Part-B-PA-List-eff-1-1-2025.pdf</w:t>
        </w:r>
      </w:hyperlink>
    </w:p>
    <w:p w14:paraId="55401300" w14:textId="177C702B" w:rsidR="00A46203" w:rsidRPr="00AA09A0" w:rsidRDefault="00F45E5D" w:rsidP="009B60D0">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CMS ASP Pricing Files.  </w:t>
      </w:r>
      <w:hyperlink r:id="rId17" w:history="1">
        <w:r>
          <w:rPr>
            <w:rStyle w:val="Hyperlink"/>
            <w:rFonts w:ascii="Futura" w:eastAsia="Calibri" w:hAnsi="Futura" w:cs="Calibri"/>
            <w:sz w:val="20"/>
            <w:szCs w:val="20"/>
            <w:lang w:bidi="en-US"/>
          </w:rPr>
          <w:t>https://www.cms.gov/medicare/payment/part-b-drugs/asp-pricing-files</w:t>
        </w:r>
      </w:hyperlink>
    </w:p>
    <w:p w14:paraId="0660324A" w14:textId="77777777" w:rsidR="009C7DD7" w:rsidRDefault="009C7DD7" w:rsidP="009C7DD7">
      <w:pPr>
        <w:pStyle w:val="ListParagraph"/>
        <w:spacing w:after="0" w:line="240" w:lineRule="auto"/>
        <w:rPr>
          <w:rFonts w:ascii="Futura" w:eastAsia="Calibri" w:hAnsi="Futura" w:cs="Calibri"/>
          <w:color w:val="000000"/>
          <w:sz w:val="20"/>
          <w:szCs w:val="20"/>
          <w:lang w:bidi="en-US"/>
        </w:rPr>
      </w:pPr>
    </w:p>
    <w:p w14:paraId="717ACA0E" w14:textId="0FC644FC" w:rsidR="000D5D23" w:rsidRPr="00171CC3" w:rsidRDefault="000D5D23" w:rsidP="00320403">
      <w:pPr>
        <w:widowControl w:val="0"/>
        <w:autoSpaceDE w:val="0"/>
        <w:autoSpaceDN w:val="0"/>
        <w:spacing w:line="240" w:lineRule="auto"/>
        <w:rPr>
          <w:rFonts w:ascii="Futura" w:hAnsi="Futura"/>
          <w:b/>
          <w:bCs/>
          <w:color w:val="00AEDB"/>
          <w:sz w:val="24"/>
          <w:szCs w:val="24"/>
        </w:rPr>
      </w:pPr>
    </w:p>
    <w:sectPr w:rsidR="000D5D23" w:rsidRPr="00171CC3" w:rsidSect="00CB0ED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Futura">
    <w:altName w:val="Century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8"/>
    <w:multiLevelType w:val="hybridMultilevel"/>
    <w:tmpl w:val="86D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375BF"/>
    <w:multiLevelType w:val="multilevel"/>
    <w:tmpl w:val="F3A22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E0A9D"/>
    <w:multiLevelType w:val="multilevel"/>
    <w:tmpl w:val="C5EA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F26E8"/>
    <w:multiLevelType w:val="hybridMultilevel"/>
    <w:tmpl w:val="D10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E72C5"/>
    <w:multiLevelType w:val="multilevel"/>
    <w:tmpl w:val="7FE86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E15F3"/>
    <w:multiLevelType w:val="multilevel"/>
    <w:tmpl w:val="889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F6B5F"/>
    <w:multiLevelType w:val="hybridMultilevel"/>
    <w:tmpl w:val="E64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F61C8"/>
    <w:multiLevelType w:val="multilevel"/>
    <w:tmpl w:val="25664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87A26"/>
    <w:multiLevelType w:val="multilevel"/>
    <w:tmpl w:val="AA260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265964">
    <w:abstractNumId w:val="0"/>
  </w:num>
  <w:num w:numId="2" w16cid:durableId="31996377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197693514">
    <w:abstractNumId w:val="3"/>
  </w:num>
  <w:num w:numId="4" w16cid:durableId="927008787">
    <w:abstractNumId w:val="1"/>
  </w:num>
  <w:num w:numId="5" w16cid:durableId="460155310">
    <w:abstractNumId w:val="1"/>
    <w:lvlOverride w:ilvl="3">
      <w:lvl w:ilvl="3">
        <w:numFmt w:val="bullet"/>
        <w:lvlText w:val=""/>
        <w:lvlJc w:val="left"/>
        <w:pPr>
          <w:tabs>
            <w:tab w:val="num" w:pos="2880"/>
          </w:tabs>
          <w:ind w:left="2880" w:hanging="360"/>
        </w:pPr>
        <w:rPr>
          <w:rFonts w:ascii="Symbol" w:hAnsi="Symbol" w:hint="default"/>
          <w:sz w:val="20"/>
        </w:rPr>
      </w:lvl>
    </w:lvlOverride>
  </w:num>
  <w:num w:numId="6" w16cid:durableId="858473555">
    <w:abstractNumId w:val="1"/>
    <w:lvlOverride w:ilvl="3">
      <w:lvl w:ilvl="3">
        <w:numFmt w:val="bullet"/>
        <w:lvlText w:val=""/>
        <w:lvlJc w:val="left"/>
        <w:pPr>
          <w:tabs>
            <w:tab w:val="num" w:pos="2880"/>
          </w:tabs>
          <w:ind w:left="2880" w:hanging="360"/>
        </w:pPr>
        <w:rPr>
          <w:rFonts w:ascii="Symbol" w:hAnsi="Symbol" w:hint="default"/>
          <w:sz w:val="20"/>
        </w:rPr>
      </w:lvl>
    </w:lvlOverride>
  </w:num>
  <w:num w:numId="7" w16cid:durableId="1455826247">
    <w:abstractNumId w:val="1"/>
    <w:lvlOverride w:ilvl="3">
      <w:lvl w:ilvl="3">
        <w:numFmt w:val="bullet"/>
        <w:lvlText w:val=""/>
        <w:lvlJc w:val="left"/>
        <w:pPr>
          <w:tabs>
            <w:tab w:val="num" w:pos="2880"/>
          </w:tabs>
          <w:ind w:left="2880" w:hanging="360"/>
        </w:pPr>
        <w:rPr>
          <w:rFonts w:ascii="Symbol" w:hAnsi="Symbol" w:hint="default"/>
          <w:sz w:val="20"/>
        </w:rPr>
      </w:lvl>
    </w:lvlOverride>
  </w:num>
  <w:num w:numId="8" w16cid:durableId="775952424">
    <w:abstractNumId w:val="1"/>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 w16cid:durableId="1594897902">
    <w:abstractNumId w:val="1"/>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 w16cid:durableId="1417165579">
    <w:abstractNumId w:val="1"/>
    <w:lvlOverride w:ilvl="3">
      <w:lvl w:ilvl="3">
        <w:numFmt w:val="bullet"/>
        <w:lvlText w:val=""/>
        <w:lvlJc w:val="left"/>
        <w:pPr>
          <w:tabs>
            <w:tab w:val="num" w:pos="2880"/>
          </w:tabs>
          <w:ind w:left="2880" w:hanging="360"/>
        </w:pPr>
        <w:rPr>
          <w:rFonts w:ascii="Symbol" w:hAnsi="Symbol" w:hint="default"/>
          <w:sz w:val="20"/>
        </w:rPr>
      </w:lvl>
    </w:lvlOverride>
  </w:num>
  <w:num w:numId="11" w16cid:durableId="1108238635">
    <w:abstractNumId w:val="1"/>
    <w:lvlOverride w:ilvl="3">
      <w:lvl w:ilvl="3">
        <w:numFmt w:val="bullet"/>
        <w:lvlText w:val=""/>
        <w:lvlJc w:val="left"/>
        <w:pPr>
          <w:tabs>
            <w:tab w:val="num" w:pos="2880"/>
          </w:tabs>
          <w:ind w:left="2880" w:hanging="360"/>
        </w:pPr>
        <w:rPr>
          <w:rFonts w:ascii="Symbol" w:hAnsi="Symbol" w:hint="default"/>
          <w:sz w:val="20"/>
        </w:rPr>
      </w:lvl>
    </w:lvlOverride>
  </w:num>
  <w:num w:numId="12" w16cid:durableId="703554935">
    <w:abstractNumId w:val="1"/>
    <w:lvlOverride w:ilvl="3">
      <w:lvl w:ilvl="3">
        <w:numFmt w:val="bullet"/>
        <w:lvlText w:val=""/>
        <w:lvlJc w:val="left"/>
        <w:pPr>
          <w:tabs>
            <w:tab w:val="num" w:pos="2880"/>
          </w:tabs>
          <w:ind w:left="2880" w:hanging="360"/>
        </w:pPr>
        <w:rPr>
          <w:rFonts w:ascii="Symbol" w:hAnsi="Symbol" w:hint="default"/>
          <w:sz w:val="20"/>
        </w:rPr>
      </w:lvl>
    </w:lvlOverride>
  </w:num>
  <w:num w:numId="13" w16cid:durableId="379593238">
    <w:abstractNumId w:val="1"/>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 w16cid:durableId="2096783785">
    <w:abstractNumId w:val="1"/>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 w16cid:durableId="396708320">
    <w:abstractNumId w:val="1"/>
    <w:lvlOverride w:ilvl="3">
      <w:lvl w:ilvl="3">
        <w:numFmt w:val="bullet"/>
        <w:lvlText w:val=""/>
        <w:lvlJc w:val="left"/>
        <w:pPr>
          <w:tabs>
            <w:tab w:val="num" w:pos="2880"/>
          </w:tabs>
          <w:ind w:left="2880" w:hanging="360"/>
        </w:pPr>
        <w:rPr>
          <w:rFonts w:ascii="Symbol" w:hAnsi="Symbol" w:hint="default"/>
          <w:sz w:val="20"/>
        </w:rPr>
      </w:lvl>
    </w:lvlOverride>
  </w:num>
  <w:num w:numId="16" w16cid:durableId="1394963759">
    <w:abstractNumId w:val="1"/>
    <w:lvlOverride w:ilvl="3">
      <w:lvl w:ilvl="3">
        <w:numFmt w:val="bullet"/>
        <w:lvlText w:val=""/>
        <w:lvlJc w:val="left"/>
        <w:pPr>
          <w:tabs>
            <w:tab w:val="num" w:pos="2880"/>
          </w:tabs>
          <w:ind w:left="2880" w:hanging="360"/>
        </w:pPr>
        <w:rPr>
          <w:rFonts w:ascii="Symbol" w:hAnsi="Symbol" w:hint="default"/>
          <w:sz w:val="20"/>
        </w:rPr>
      </w:lvl>
    </w:lvlOverride>
  </w:num>
  <w:num w:numId="17" w16cid:durableId="929044404">
    <w:abstractNumId w:val="1"/>
    <w:lvlOverride w:ilvl="3">
      <w:lvl w:ilvl="3">
        <w:numFmt w:val="bullet"/>
        <w:lvlText w:val=""/>
        <w:lvlJc w:val="left"/>
        <w:pPr>
          <w:tabs>
            <w:tab w:val="num" w:pos="2880"/>
          </w:tabs>
          <w:ind w:left="2880" w:hanging="360"/>
        </w:pPr>
        <w:rPr>
          <w:rFonts w:ascii="Symbol" w:hAnsi="Symbol" w:hint="default"/>
          <w:sz w:val="20"/>
        </w:rPr>
      </w:lvl>
    </w:lvlOverride>
  </w:num>
  <w:num w:numId="18" w16cid:durableId="1963922672">
    <w:abstractNumId w:val="1"/>
    <w:lvlOverride w:ilvl="3">
      <w:lvl w:ilvl="3">
        <w:numFmt w:val="bullet"/>
        <w:lvlText w:val=""/>
        <w:lvlJc w:val="left"/>
        <w:pPr>
          <w:tabs>
            <w:tab w:val="num" w:pos="2880"/>
          </w:tabs>
          <w:ind w:left="2880" w:hanging="360"/>
        </w:pPr>
        <w:rPr>
          <w:rFonts w:ascii="Symbol" w:hAnsi="Symbol" w:hint="default"/>
          <w:sz w:val="20"/>
        </w:rPr>
      </w:lvl>
    </w:lvlOverride>
  </w:num>
  <w:num w:numId="19" w16cid:durableId="4479137">
    <w:abstractNumId w:val="4"/>
  </w:num>
  <w:num w:numId="20" w16cid:durableId="273293583">
    <w:abstractNumId w:val="4"/>
    <w:lvlOverride w:ilvl="3">
      <w:lvl w:ilvl="3">
        <w:numFmt w:val="bullet"/>
        <w:lvlText w:val=""/>
        <w:lvlJc w:val="left"/>
        <w:pPr>
          <w:tabs>
            <w:tab w:val="num" w:pos="2880"/>
          </w:tabs>
          <w:ind w:left="2880" w:hanging="360"/>
        </w:pPr>
        <w:rPr>
          <w:rFonts w:ascii="Symbol" w:hAnsi="Symbol" w:hint="default"/>
          <w:sz w:val="20"/>
        </w:rPr>
      </w:lvl>
    </w:lvlOverride>
  </w:num>
  <w:num w:numId="21" w16cid:durableId="1465999437">
    <w:abstractNumId w:val="4"/>
    <w:lvlOverride w:ilvl="3">
      <w:lvl w:ilvl="3">
        <w:numFmt w:val="bullet"/>
        <w:lvlText w:val=""/>
        <w:lvlJc w:val="left"/>
        <w:pPr>
          <w:tabs>
            <w:tab w:val="num" w:pos="2880"/>
          </w:tabs>
          <w:ind w:left="2880" w:hanging="360"/>
        </w:pPr>
        <w:rPr>
          <w:rFonts w:ascii="Symbol" w:hAnsi="Symbol" w:hint="default"/>
          <w:sz w:val="20"/>
        </w:rPr>
      </w:lvl>
    </w:lvlOverride>
  </w:num>
  <w:num w:numId="22" w16cid:durableId="249392343">
    <w:abstractNumId w:val="4"/>
    <w:lvlOverride w:ilvl="3">
      <w:lvl w:ilvl="3">
        <w:numFmt w:val="bullet"/>
        <w:lvlText w:val=""/>
        <w:lvlJc w:val="left"/>
        <w:pPr>
          <w:tabs>
            <w:tab w:val="num" w:pos="2880"/>
          </w:tabs>
          <w:ind w:left="2880" w:hanging="360"/>
        </w:pPr>
        <w:rPr>
          <w:rFonts w:ascii="Symbol" w:hAnsi="Symbol" w:hint="default"/>
          <w:sz w:val="20"/>
        </w:rPr>
      </w:lvl>
    </w:lvlOverride>
  </w:num>
  <w:num w:numId="23" w16cid:durableId="181628169">
    <w:abstractNumId w:val="4"/>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4" w16cid:durableId="1858688244">
    <w:abstractNumId w:val="4"/>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5" w16cid:durableId="421220498">
    <w:abstractNumId w:val="4"/>
    <w:lvlOverride w:ilvl="3">
      <w:lvl w:ilvl="3">
        <w:numFmt w:val="bullet"/>
        <w:lvlText w:val=""/>
        <w:lvlJc w:val="left"/>
        <w:pPr>
          <w:tabs>
            <w:tab w:val="num" w:pos="2880"/>
          </w:tabs>
          <w:ind w:left="2880" w:hanging="360"/>
        </w:pPr>
        <w:rPr>
          <w:rFonts w:ascii="Symbol" w:hAnsi="Symbol" w:hint="default"/>
          <w:sz w:val="20"/>
        </w:rPr>
      </w:lvl>
    </w:lvlOverride>
  </w:num>
  <w:num w:numId="26" w16cid:durableId="695547237">
    <w:abstractNumId w:val="4"/>
    <w:lvlOverride w:ilvl="3">
      <w:lvl w:ilvl="3">
        <w:numFmt w:val="bullet"/>
        <w:lvlText w:val=""/>
        <w:lvlJc w:val="left"/>
        <w:pPr>
          <w:tabs>
            <w:tab w:val="num" w:pos="2880"/>
          </w:tabs>
          <w:ind w:left="2880" w:hanging="360"/>
        </w:pPr>
        <w:rPr>
          <w:rFonts w:ascii="Symbol" w:hAnsi="Symbol" w:hint="default"/>
          <w:sz w:val="20"/>
        </w:rPr>
      </w:lvl>
    </w:lvlOverride>
  </w:num>
  <w:num w:numId="27" w16cid:durableId="1275021614">
    <w:abstractNumId w:val="4"/>
    <w:lvlOverride w:ilvl="3">
      <w:lvl w:ilvl="3">
        <w:numFmt w:val="bullet"/>
        <w:lvlText w:val=""/>
        <w:lvlJc w:val="left"/>
        <w:pPr>
          <w:tabs>
            <w:tab w:val="num" w:pos="2880"/>
          </w:tabs>
          <w:ind w:left="2880" w:hanging="360"/>
        </w:pPr>
        <w:rPr>
          <w:rFonts w:ascii="Symbol" w:hAnsi="Symbol" w:hint="default"/>
          <w:sz w:val="20"/>
        </w:rPr>
      </w:lvl>
    </w:lvlOverride>
  </w:num>
  <w:num w:numId="28" w16cid:durableId="451484220">
    <w:abstractNumId w:val="4"/>
    <w:lvlOverride w:ilvl="3">
      <w:lvl w:ilvl="3">
        <w:numFmt w:val="bullet"/>
        <w:lvlText w:val=""/>
        <w:lvlJc w:val="left"/>
        <w:pPr>
          <w:tabs>
            <w:tab w:val="num" w:pos="2880"/>
          </w:tabs>
          <w:ind w:left="2880" w:hanging="360"/>
        </w:pPr>
        <w:rPr>
          <w:rFonts w:ascii="Symbol" w:hAnsi="Symbol" w:hint="default"/>
          <w:sz w:val="20"/>
        </w:rPr>
      </w:lvl>
    </w:lvlOverride>
  </w:num>
  <w:num w:numId="29" w16cid:durableId="872350824">
    <w:abstractNumId w:val="4"/>
    <w:lvlOverride w:ilvl="3">
      <w:lvl w:ilvl="3">
        <w:numFmt w:val="bullet"/>
        <w:lvlText w:val=""/>
        <w:lvlJc w:val="left"/>
        <w:pPr>
          <w:tabs>
            <w:tab w:val="num" w:pos="2880"/>
          </w:tabs>
          <w:ind w:left="2880" w:hanging="360"/>
        </w:pPr>
        <w:rPr>
          <w:rFonts w:ascii="Symbol" w:hAnsi="Symbol" w:hint="default"/>
          <w:sz w:val="20"/>
        </w:rPr>
      </w:lvl>
    </w:lvlOverride>
  </w:num>
  <w:num w:numId="30" w16cid:durableId="601568679">
    <w:abstractNumId w:val="4"/>
    <w:lvlOverride w:ilvl="3">
      <w:lvl w:ilvl="3">
        <w:numFmt w:val="bullet"/>
        <w:lvlText w:val=""/>
        <w:lvlJc w:val="left"/>
        <w:pPr>
          <w:tabs>
            <w:tab w:val="num" w:pos="2880"/>
          </w:tabs>
          <w:ind w:left="2880" w:hanging="360"/>
        </w:pPr>
        <w:rPr>
          <w:rFonts w:ascii="Symbol" w:hAnsi="Symbol" w:hint="default"/>
          <w:sz w:val="20"/>
        </w:rPr>
      </w:lvl>
    </w:lvlOverride>
  </w:num>
  <w:num w:numId="31" w16cid:durableId="2094157946">
    <w:abstractNumId w:val="4"/>
    <w:lvlOverride w:ilvl="3">
      <w:lvl w:ilvl="3">
        <w:numFmt w:val="bullet"/>
        <w:lvlText w:val=""/>
        <w:lvlJc w:val="left"/>
        <w:pPr>
          <w:tabs>
            <w:tab w:val="num" w:pos="2880"/>
          </w:tabs>
          <w:ind w:left="2880" w:hanging="360"/>
        </w:pPr>
        <w:rPr>
          <w:rFonts w:ascii="Symbol" w:hAnsi="Symbol" w:hint="default"/>
          <w:sz w:val="20"/>
        </w:rPr>
      </w:lvl>
    </w:lvlOverride>
  </w:num>
  <w:num w:numId="32" w16cid:durableId="1488591685">
    <w:abstractNumId w:val="4"/>
    <w:lvlOverride w:ilvl="3">
      <w:lvl w:ilvl="3">
        <w:numFmt w:val="bullet"/>
        <w:lvlText w:val=""/>
        <w:lvlJc w:val="left"/>
        <w:pPr>
          <w:tabs>
            <w:tab w:val="num" w:pos="2880"/>
          </w:tabs>
          <w:ind w:left="2880" w:hanging="360"/>
        </w:pPr>
        <w:rPr>
          <w:rFonts w:ascii="Symbol" w:hAnsi="Symbol" w:hint="default"/>
          <w:sz w:val="20"/>
        </w:rPr>
      </w:lvl>
    </w:lvlOverride>
  </w:num>
  <w:num w:numId="33" w16cid:durableId="1862354199">
    <w:abstractNumId w:val="4"/>
    <w:lvlOverride w:ilvl="3">
      <w:lvl w:ilvl="3">
        <w:numFmt w:val="bullet"/>
        <w:lvlText w:val=""/>
        <w:lvlJc w:val="left"/>
        <w:pPr>
          <w:tabs>
            <w:tab w:val="num" w:pos="2880"/>
          </w:tabs>
          <w:ind w:left="2880" w:hanging="360"/>
        </w:pPr>
        <w:rPr>
          <w:rFonts w:ascii="Symbol" w:hAnsi="Symbol" w:hint="default"/>
          <w:sz w:val="20"/>
        </w:rPr>
      </w:lvl>
    </w:lvlOverride>
  </w:num>
  <w:num w:numId="34" w16cid:durableId="168448541">
    <w:abstractNumId w:val="4"/>
    <w:lvlOverride w:ilvl="3">
      <w:lvl w:ilvl="3">
        <w:numFmt w:val="bullet"/>
        <w:lvlText w:val=""/>
        <w:lvlJc w:val="left"/>
        <w:pPr>
          <w:tabs>
            <w:tab w:val="num" w:pos="2880"/>
          </w:tabs>
          <w:ind w:left="2880" w:hanging="360"/>
        </w:pPr>
        <w:rPr>
          <w:rFonts w:ascii="Symbol" w:hAnsi="Symbol" w:hint="default"/>
          <w:sz w:val="20"/>
        </w:rPr>
      </w:lvl>
    </w:lvlOverride>
  </w:num>
  <w:num w:numId="35" w16cid:durableId="1145396530">
    <w:abstractNumId w:val="4"/>
    <w:lvlOverride w:ilvl="3">
      <w:lvl w:ilvl="3">
        <w:numFmt w:val="bullet"/>
        <w:lvlText w:val=""/>
        <w:lvlJc w:val="left"/>
        <w:pPr>
          <w:tabs>
            <w:tab w:val="num" w:pos="2880"/>
          </w:tabs>
          <w:ind w:left="2880" w:hanging="360"/>
        </w:pPr>
        <w:rPr>
          <w:rFonts w:ascii="Symbol" w:hAnsi="Symbol" w:hint="default"/>
          <w:sz w:val="20"/>
        </w:rPr>
      </w:lvl>
    </w:lvlOverride>
  </w:num>
  <w:num w:numId="36" w16cid:durableId="2109814869">
    <w:abstractNumId w:val="4"/>
    <w:lvlOverride w:ilvl="3">
      <w:lvl w:ilvl="3">
        <w:numFmt w:val="bullet"/>
        <w:lvlText w:val=""/>
        <w:lvlJc w:val="left"/>
        <w:pPr>
          <w:tabs>
            <w:tab w:val="num" w:pos="2880"/>
          </w:tabs>
          <w:ind w:left="2880" w:hanging="360"/>
        </w:pPr>
        <w:rPr>
          <w:rFonts w:ascii="Symbol" w:hAnsi="Symbol" w:hint="default"/>
          <w:sz w:val="20"/>
        </w:rPr>
      </w:lvl>
    </w:lvlOverride>
  </w:num>
  <w:num w:numId="37" w16cid:durableId="1702632381">
    <w:abstractNumId w:val="2"/>
  </w:num>
  <w:num w:numId="38" w16cid:durableId="1035160110">
    <w:abstractNumId w:val="8"/>
  </w:num>
  <w:num w:numId="39" w16cid:durableId="14139264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211104788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1604991630">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602147148">
    <w:abstractNumId w:val="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3" w16cid:durableId="1492408385">
    <w:abstractNumId w:val="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4" w16cid:durableId="70401669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109474437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144179720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32778460">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3"/>
    <w:rsid w:val="000006BB"/>
    <w:rsid w:val="00002194"/>
    <w:rsid w:val="00002541"/>
    <w:rsid w:val="00006C6B"/>
    <w:rsid w:val="00006F2B"/>
    <w:rsid w:val="000216B1"/>
    <w:rsid w:val="000268B7"/>
    <w:rsid w:val="0002789A"/>
    <w:rsid w:val="00037876"/>
    <w:rsid w:val="00050288"/>
    <w:rsid w:val="0005293D"/>
    <w:rsid w:val="00055090"/>
    <w:rsid w:val="00070C3E"/>
    <w:rsid w:val="00083349"/>
    <w:rsid w:val="00084B4D"/>
    <w:rsid w:val="00087AC4"/>
    <w:rsid w:val="000951BF"/>
    <w:rsid w:val="00095439"/>
    <w:rsid w:val="000A72D9"/>
    <w:rsid w:val="000B32F3"/>
    <w:rsid w:val="000C7E39"/>
    <w:rsid w:val="000D5D23"/>
    <w:rsid w:val="000E48B4"/>
    <w:rsid w:val="000F0644"/>
    <w:rsid w:val="000F5645"/>
    <w:rsid w:val="0010271C"/>
    <w:rsid w:val="00110ABA"/>
    <w:rsid w:val="00111DE8"/>
    <w:rsid w:val="00111E83"/>
    <w:rsid w:val="00114DFB"/>
    <w:rsid w:val="0013315A"/>
    <w:rsid w:val="00146F48"/>
    <w:rsid w:val="00151F12"/>
    <w:rsid w:val="00163B05"/>
    <w:rsid w:val="00171CC3"/>
    <w:rsid w:val="001732AA"/>
    <w:rsid w:val="0017367D"/>
    <w:rsid w:val="0017549C"/>
    <w:rsid w:val="0018204C"/>
    <w:rsid w:val="001A17A5"/>
    <w:rsid w:val="001C3AA0"/>
    <w:rsid w:val="001C6D04"/>
    <w:rsid w:val="001D3758"/>
    <w:rsid w:val="001D485D"/>
    <w:rsid w:val="001D52B4"/>
    <w:rsid w:val="001F2395"/>
    <w:rsid w:val="0020138F"/>
    <w:rsid w:val="002068E2"/>
    <w:rsid w:val="00217E56"/>
    <w:rsid w:val="00222323"/>
    <w:rsid w:val="00226EA5"/>
    <w:rsid w:val="00232169"/>
    <w:rsid w:val="00234EA0"/>
    <w:rsid w:val="00244FDD"/>
    <w:rsid w:val="00255C58"/>
    <w:rsid w:val="00261E9C"/>
    <w:rsid w:val="00267D2D"/>
    <w:rsid w:val="00270308"/>
    <w:rsid w:val="00277C44"/>
    <w:rsid w:val="00282EC9"/>
    <w:rsid w:val="00284C10"/>
    <w:rsid w:val="0029343B"/>
    <w:rsid w:val="002B0DF2"/>
    <w:rsid w:val="002B2E6E"/>
    <w:rsid w:val="002C19CE"/>
    <w:rsid w:val="002C661D"/>
    <w:rsid w:val="002C7A14"/>
    <w:rsid w:val="002D3FFC"/>
    <w:rsid w:val="002D79FB"/>
    <w:rsid w:val="002F4966"/>
    <w:rsid w:val="00301EBD"/>
    <w:rsid w:val="00310B8F"/>
    <w:rsid w:val="00311667"/>
    <w:rsid w:val="0031532D"/>
    <w:rsid w:val="00320403"/>
    <w:rsid w:val="00323429"/>
    <w:rsid w:val="0033442B"/>
    <w:rsid w:val="003345C3"/>
    <w:rsid w:val="00361DE8"/>
    <w:rsid w:val="00362E72"/>
    <w:rsid w:val="00370721"/>
    <w:rsid w:val="00372252"/>
    <w:rsid w:val="0038314B"/>
    <w:rsid w:val="00384870"/>
    <w:rsid w:val="003A2C4A"/>
    <w:rsid w:val="003A3BE8"/>
    <w:rsid w:val="003B405F"/>
    <w:rsid w:val="003B7F66"/>
    <w:rsid w:val="003E1B92"/>
    <w:rsid w:val="003E5ADF"/>
    <w:rsid w:val="003E698F"/>
    <w:rsid w:val="003F0AB1"/>
    <w:rsid w:val="00400AA7"/>
    <w:rsid w:val="00401E90"/>
    <w:rsid w:val="004057BB"/>
    <w:rsid w:val="00405835"/>
    <w:rsid w:val="00407604"/>
    <w:rsid w:val="0041548D"/>
    <w:rsid w:val="0041776D"/>
    <w:rsid w:val="004219F6"/>
    <w:rsid w:val="0043033F"/>
    <w:rsid w:val="00436A19"/>
    <w:rsid w:val="00436E7B"/>
    <w:rsid w:val="00446EA0"/>
    <w:rsid w:val="00452D0D"/>
    <w:rsid w:val="00466972"/>
    <w:rsid w:val="00467FD5"/>
    <w:rsid w:val="00474DCE"/>
    <w:rsid w:val="004807F3"/>
    <w:rsid w:val="0048304F"/>
    <w:rsid w:val="00485617"/>
    <w:rsid w:val="004876ED"/>
    <w:rsid w:val="004961B0"/>
    <w:rsid w:val="00496CB5"/>
    <w:rsid w:val="00497B99"/>
    <w:rsid w:val="004A6CAF"/>
    <w:rsid w:val="004B6BF3"/>
    <w:rsid w:val="004B711A"/>
    <w:rsid w:val="004B7D0A"/>
    <w:rsid w:val="004B7D63"/>
    <w:rsid w:val="004C0644"/>
    <w:rsid w:val="004C0821"/>
    <w:rsid w:val="004C4988"/>
    <w:rsid w:val="004D2348"/>
    <w:rsid w:val="004D2403"/>
    <w:rsid w:val="004E3731"/>
    <w:rsid w:val="004E3830"/>
    <w:rsid w:val="004F0D94"/>
    <w:rsid w:val="004F3B63"/>
    <w:rsid w:val="004F56DC"/>
    <w:rsid w:val="004F5EE3"/>
    <w:rsid w:val="004F6CF7"/>
    <w:rsid w:val="005027EC"/>
    <w:rsid w:val="00510459"/>
    <w:rsid w:val="0051220F"/>
    <w:rsid w:val="005226EB"/>
    <w:rsid w:val="005269B9"/>
    <w:rsid w:val="005372E4"/>
    <w:rsid w:val="00541A38"/>
    <w:rsid w:val="00541FB8"/>
    <w:rsid w:val="00542D9D"/>
    <w:rsid w:val="0055003C"/>
    <w:rsid w:val="00554794"/>
    <w:rsid w:val="00563F86"/>
    <w:rsid w:val="00564D9D"/>
    <w:rsid w:val="00574C5A"/>
    <w:rsid w:val="00581FB0"/>
    <w:rsid w:val="00583AFA"/>
    <w:rsid w:val="00587BC5"/>
    <w:rsid w:val="00596AA0"/>
    <w:rsid w:val="005A4D07"/>
    <w:rsid w:val="005A5076"/>
    <w:rsid w:val="005A7514"/>
    <w:rsid w:val="005B1B78"/>
    <w:rsid w:val="005B5D37"/>
    <w:rsid w:val="005B66F8"/>
    <w:rsid w:val="005C0B20"/>
    <w:rsid w:val="005C3DC3"/>
    <w:rsid w:val="005C64A2"/>
    <w:rsid w:val="005D0A2F"/>
    <w:rsid w:val="00626959"/>
    <w:rsid w:val="00627E28"/>
    <w:rsid w:val="0063092D"/>
    <w:rsid w:val="006315C5"/>
    <w:rsid w:val="00643E03"/>
    <w:rsid w:val="00644051"/>
    <w:rsid w:val="00645EAC"/>
    <w:rsid w:val="00647389"/>
    <w:rsid w:val="006502EC"/>
    <w:rsid w:val="006522B1"/>
    <w:rsid w:val="00652714"/>
    <w:rsid w:val="00664AFE"/>
    <w:rsid w:val="006661F8"/>
    <w:rsid w:val="00671635"/>
    <w:rsid w:val="00672EF0"/>
    <w:rsid w:val="006747AA"/>
    <w:rsid w:val="00682D71"/>
    <w:rsid w:val="006837C1"/>
    <w:rsid w:val="006905E1"/>
    <w:rsid w:val="006C2777"/>
    <w:rsid w:val="006C570F"/>
    <w:rsid w:val="006C791A"/>
    <w:rsid w:val="006D4720"/>
    <w:rsid w:val="006E1546"/>
    <w:rsid w:val="006E2283"/>
    <w:rsid w:val="006E7273"/>
    <w:rsid w:val="0070226E"/>
    <w:rsid w:val="00702342"/>
    <w:rsid w:val="00705F98"/>
    <w:rsid w:val="0071688B"/>
    <w:rsid w:val="007230EC"/>
    <w:rsid w:val="0072344F"/>
    <w:rsid w:val="0072503A"/>
    <w:rsid w:val="007301A3"/>
    <w:rsid w:val="0073162B"/>
    <w:rsid w:val="007320D1"/>
    <w:rsid w:val="00733D2E"/>
    <w:rsid w:val="00740D32"/>
    <w:rsid w:val="00741603"/>
    <w:rsid w:val="00741841"/>
    <w:rsid w:val="00742CF1"/>
    <w:rsid w:val="00745EEC"/>
    <w:rsid w:val="00747DAE"/>
    <w:rsid w:val="007569C3"/>
    <w:rsid w:val="00760A91"/>
    <w:rsid w:val="007610DB"/>
    <w:rsid w:val="00764E03"/>
    <w:rsid w:val="00765E2C"/>
    <w:rsid w:val="007812DC"/>
    <w:rsid w:val="007A409D"/>
    <w:rsid w:val="007A411C"/>
    <w:rsid w:val="007B4386"/>
    <w:rsid w:val="007B6A6F"/>
    <w:rsid w:val="007C25F4"/>
    <w:rsid w:val="007C590C"/>
    <w:rsid w:val="007C5A44"/>
    <w:rsid w:val="007D49D0"/>
    <w:rsid w:val="007E38D8"/>
    <w:rsid w:val="007E7735"/>
    <w:rsid w:val="007F4F63"/>
    <w:rsid w:val="00811596"/>
    <w:rsid w:val="008169B9"/>
    <w:rsid w:val="00821D58"/>
    <w:rsid w:val="008224A5"/>
    <w:rsid w:val="00827A7B"/>
    <w:rsid w:val="00832A58"/>
    <w:rsid w:val="00833D5F"/>
    <w:rsid w:val="00834861"/>
    <w:rsid w:val="00835DAB"/>
    <w:rsid w:val="00853AE4"/>
    <w:rsid w:val="008562BA"/>
    <w:rsid w:val="00856D17"/>
    <w:rsid w:val="00867E8D"/>
    <w:rsid w:val="00883B3D"/>
    <w:rsid w:val="00892C1A"/>
    <w:rsid w:val="00892F25"/>
    <w:rsid w:val="008A7D57"/>
    <w:rsid w:val="008B38E2"/>
    <w:rsid w:val="008B66CF"/>
    <w:rsid w:val="008C42AD"/>
    <w:rsid w:val="008D39C3"/>
    <w:rsid w:val="008D3BB4"/>
    <w:rsid w:val="008E134A"/>
    <w:rsid w:val="008E1C8A"/>
    <w:rsid w:val="008E33BB"/>
    <w:rsid w:val="008F1491"/>
    <w:rsid w:val="008F3574"/>
    <w:rsid w:val="008F6DA5"/>
    <w:rsid w:val="008F7EDA"/>
    <w:rsid w:val="00900A5B"/>
    <w:rsid w:val="0090595D"/>
    <w:rsid w:val="00906DDF"/>
    <w:rsid w:val="00911289"/>
    <w:rsid w:val="00915B2D"/>
    <w:rsid w:val="00917608"/>
    <w:rsid w:val="0092568E"/>
    <w:rsid w:val="00930C83"/>
    <w:rsid w:val="00934560"/>
    <w:rsid w:val="0093575C"/>
    <w:rsid w:val="00942BE2"/>
    <w:rsid w:val="00944973"/>
    <w:rsid w:val="009551AB"/>
    <w:rsid w:val="00962F45"/>
    <w:rsid w:val="0096655A"/>
    <w:rsid w:val="00967F85"/>
    <w:rsid w:val="00972E5F"/>
    <w:rsid w:val="00973896"/>
    <w:rsid w:val="00977B41"/>
    <w:rsid w:val="009815F3"/>
    <w:rsid w:val="0098253C"/>
    <w:rsid w:val="00984FC0"/>
    <w:rsid w:val="00997735"/>
    <w:rsid w:val="009A1FD0"/>
    <w:rsid w:val="009A41C7"/>
    <w:rsid w:val="009A5611"/>
    <w:rsid w:val="009A65B2"/>
    <w:rsid w:val="009B2EC7"/>
    <w:rsid w:val="009B60D0"/>
    <w:rsid w:val="009C1F2E"/>
    <w:rsid w:val="009C2524"/>
    <w:rsid w:val="009C7DD7"/>
    <w:rsid w:val="009E5E17"/>
    <w:rsid w:val="009F51BE"/>
    <w:rsid w:val="009F67D8"/>
    <w:rsid w:val="009F7E38"/>
    <w:rsid w:val="00A05151"/>
    <w:rsid w:val="00A06D28"/>
    <w:rsid w:val="00A15C06"/>
    <w:rsid w:val="00A20A50"/>
    <w:rsid w:val="00A20E85"/>
    <w:rsid w:val="00A317A3"/>
    <w:rsid w:val="00A31EC2"/>
    <w:rsid w:val="00A46203"/>
    <w:rsid w:val="00A510FE"/>
    <w:rsid w:val="00A52B40"/>
    <w:rsid w:val="00A54A77"/>
    <w:rsid w:val="00A653B4"/>
    <w:rsid w:val="00A674D1"/>
    <w:rsid w:val="00A67DEC"/>
    <w:rsid w:val="00A74550"/>
    <w:rsid w:val="00A77887"/>
    <w:rsid w:val="00A8078C"/>
    <w:rsid w:val="00A83D94"/>
    <w:rsid w:val="00A85AC1"/>
    <w:rsid w:val="00A862D2"/>
    <w:rsid w:val="00A9620B"/>
    <w:rsid w:val="00AA032F"/>
    <w:rsid w:val="00AA0339"/>
    <w:rsid w:val="00AA09A0"/>
    <w:rsid w:val="00AB6317"/>
    <w:rsid w:val="00AC208E"/>
    <w:rsid w:val="00AC3D96"/>
    <w:rsid w:val="00AD64AA"/>
    <w:rsid w:val="00AE109F"/>
    <w:rsid w:val="00AE372C"/>
    <w:rsid w:val="00B02432"/>
    <w:rsid w:val="00B125DE"/>
    <w:rsid w:val="00B15188"/>
    <w:rsid w:val="00B15619"/>
    <w:rsid w:val="00B166E4"/>
    <w:rsid w:val="00B23FE9"/>
    <w:rsid w:val="00B30CF8"/>
    <w:rsid w:val="00B317BA"/>
    <w:rsid w:val="00B34984"/>
    <w:rsid w:val="00B36AE9"/>
    <w:rsid w:val="00B55BB0"/>
    <w:rsid w:val="00B60BDE"/>
    <w:rsid w:val="00B77D2D"/>
    <w:rsid w:val="00B816C0"/>
    <w:rsid w:val="00B820D9"/>
    <w:rsid w:val="00B8376A"/>
    <w:rsid w:val="00B85E44"/>
    <w:rsid w:val="00B864D2"/>
    <w:rsid w:val="00B87B8F"/>
    <w:rsid w:val="00B87C5F"/>
    <w:rsid w:val="00B92C2A"/>
    <w:rsid w:val="00B9346B"/>
    <w:rsid w:val="00B945C9"/>
    <w:rsid w:val="00BA7316"/>
    <w:rsid w:val="00BB10D4"/>
    <w:rsid w:val="00BB3294"/>
    <w:rsid w:val="00BC07B2"/>
    <w:rsid w:val="00BC0C87"/>
    <w:rsid w:val="00BD3E6B"/>
    <w:rsid w:val="00BE46CE"/>
    <w:rsid w:val="00BE6FAE"/>
    <w:rsid w:val="00BF3791"/>
    <w:rsid w:val="00C05623"/>
    <w:rsid w:val="00C10152"/>
    <w:rsid w:val="00C11803"/>
    <w:rsid w:val="00C11B4C"/>
    <w:rsid w:val="00C142D2"/>
    <w:rsid w:val="00C15C77"/>
    <w:rsid w:val="00C23085"/>
    <w:rsid w:val="00C2471A"/>
    <w:rsid w:val="00C3132D"/>
    <w:rsid w:val="00C3149B"/>
    <w:rsid w:val="00C5183F"/>
    <w:rsid w:val="00C523F4"/>
    <w:rsid w:val="00C52B65"/>
    <w:rsid w:val="00C71E74"/>
    <w:rsid w:val="00C82C80"/>
    <w:rsid w:val="00C843B0"/>
    <w:rsid w:val="00C84EFE"/>
    <w:rsid w:val="00C86425"/>
    <w:rsid w:val="00C9120D"/>
    <w:rsid w:val="00C96407"/>
    <w:rsid w:val="00C97412"/>
    <w:rsid w:val="00CA4636"/>
    <w:rsid w:val="00CB0EDA"/>
    <w:rsid w:val="00CB4D37"/>
    <w:rsid w:val="00CB5E28"/>
    <w:rsid w:val="00CC2B10"/>
    <w:rsid w:val="00CD2097"/>
    <w:rsid w:val="00CD610B"/>
    <w:rsid w:val="00CD64B2"/>
    <w:rsid w:val="00CD77BC"/>
    <w:rsid w:val="00CE20F1"/>
    <w:rsid w:val="00CE393E"/>
    <w:rsid w:val="00CE56FF"/>
    <w:rsid w:val="00CF0A83"/>
    <w:rsid w:val="00CF1F36"/>
    <w:rsid w:val="00D001BF"/>
    <w:rsid w:val="00D0049A"/>
    <w:rsid w:val="00D0674C"/>
    <w:rsid w:val="00D13DDD"/>
    <w:rsid w:val="00D242BA"/>
    <w:rsid w:val="00D25F21"/>
    <w:rsid w:val="00D26F9F"/>
    <w:rsid w:val="00D319BA"/>
    <w:rsid w:val="00D35343"/>
    <w:rsid w:val="00D35663"/>
    <w:rsid w:val="00D41FEF"/>
    <w:rsid w:val="00D7097F"/>
    <w:rsid w:val="00D9029B"/>
    <w:rsid w:val="00DA133F"/>
    <w:rsid w:val="00DB19EA"/>
    <w:rsid w:val="00DB4210"/>
    <w:rsid w:val="00DB428A"/>
    <w:rsid w:val="00DB42FA"/>
    <w:rsid w:val="00DC1B0C"/>
    <w:rsid w:val="00DC1EAA"/>
    <w:rsid w:val="00DD1951"/>
    <w:rsid w:val="00DE127F"/>
    <w:rsid w:val="00DF38F3"/>
    <w:rsid w:val="00E01AE9"/>
    <w:rsid w:val="00E03060"/>
    <w:rsid w:val="00E1012C"/>
    <w:rsid w:val="00E15732"/>
    <w:rsid w:val="00E22BA1"/>
    <w:rsid w:val="00E36BFB"/>
    <w:rsid w:val="00E36E50"/>
    <w:rsid w:val="00E42974"/>
    <w:rsid w:val="00E51E1F"/>
    <w:rsid w:val="00E52819"/>
    <w:rsid w:val="00E53122"/>
    <w:rsid w:val="00E70CA5"/>
    <w:rsid w:val="00E74086"/>
    <w:rsid w:val="00E7512D"/>
    <w:rsid w:val="00E768B3"/>
    <w:rsid w:val="00E96D83"/>
    <w:rsid w:val="00EB5152"/>
    <w:rsid w:val="00EC60B2"/>
    <w:rsid w:val="00ED3544"/>
    <w:rsid w:val="00ED739E"/>
    <w:rsid w:val="00EE2944"/>
    <w:rsid w:val="00EE7D5B"/>
    <w:rsid w:val="00EF0772"/>
    <w:rsid w:val="00EF112B"/>
    <w:rsid w:val="00EF60ED"/>
    <w:rsid w:val="00F034BA"/>
    <w:rsid w:val="00F114E0"/>
    <w:rsid w:val="00F11EF3"/>
    <w:rsid w:val="00F1311D"/>
    <w:rsid w:val="00F13FFD"/>
    <w:rsid w:val="00F1578C"/>
    <w:rsid w:val="00F304BD"/>
    <w:rsid w:val="00F325A6"/>
    <w:rsid w:val="00F360A6"/>
    <w:rsid w:val="00F36C54"/>
    <w:rsid w:val="00F4152B"/>
    <w:rsid w:val="00F45E5D"/>
    <w:rsid w:val="00F524DA"/>
    <w:rsid w:val="00F52D8E"/>
    <w:rsid w:val="00F57795"/>
    <w:rsid w:val="00F57FC9"/>
    <w:rsid w:val="00F64756"/>
    <w:rsid w:val="00F94EF6"/>
    <w:rsid w:val="00F95A1F"/>
    <w:rsid w:val="00F96E21"/>
    <w:rsid w:val="00F97CFE"/>
    <w:rsid w:val="00FA3616"/>
    <w:rsid w:val="00FA3D8A"/>
    <w:rsid w:val="00FA4408"/>
    <w:rsid w:val="00FA7C17"/>
    <w:rsid w:val="00FB35AF"/>
    <w:rsid w:val="00FB396E"/>
    <w:rsid w:val="00FC1668"/>
    <w:rsid w:val="00FC1784"/>
    <w:rsid w:val="00FC1E7C"/>
    <w:rsid w:val="00FC2ADC"/>
    <w:rsid w:val="00FC554A"/>
    <w:rsid w:val="00FD42FF"/>
    <w:rsid w:val="00FE2AB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F0F"/>
  <w15:chartTrackingRefBased/>
  <w15:docId w15:val="{BA3DBEAA-AC70-4E0D-960D-288322D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8"/>
  </w:style>
  <w:style w:type="paragraph" w:styleId="Heading1">
    <w:name w:val="heading 1"/>
    <w:basedOn w:val="Normal"/>
    <w:next w:val="Normal"/>
    <w:link w:val="Heading1Char"/>
    <w:uiPriority w:val="9"/>
    <w:qFormat/>
    <w:rsid w:val="0065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1C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1CC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7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3C"/>
    <w:pPr>
      <w:ind w:left="720"/>
      <w:contextualSpacing/>
    </w:pPr>
  </w:style>
  <w:style w:type="character" w:styleId="Hyperlink">
    <w:name w:val="Hyperlink"/>
    <w:basedOn w:val="DefaultParagraphFont"/>
    <w:uiPriority w:val="99"/>
    <w:unhideWhenUsed/>
    <w:rsid w:val="00CE20F1"/>
    <w:rPr>
      <w:color w:val="0000FF"/>
      <w:u w:val="single"/>
    </w:rPr>
  </w:style>
  <w:style w:type="character" w:customStyle="1" w:styleId="Heading1Char">
    <w:name w:val="Heading 1 Char"/>
    <w:basedOn w:val="DefaultParagraphFont"/>
    <w:link w:val="Heading1"/>
    <w:uiPriority w:val="9"/>
    <w:rsid w:val="006502EC"/>
    <w:rPr>
      <w:rFonts w:asciiTheme="majorHAnsi" w:eastAsiaTheme="majorEastAsia" w:hAnsiTheme="majorHAnsi" w:cstheme="majorBidi"/>
      <w:color w:val="2F5496" w:themeColor="accent1" w:themeShade="BF"/>
      <w:sz w:val="32"/>
      <w:szCs w:val="32"/>
    </w:rPr>
  </w:style>
  <w:style w:type="paragraph" w:customStyle="1" w:styleId="Default">
    <w:name w:val="Default"/>
    <w:rsid w:val="00B60BDE"/>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4219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6C79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2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540">
      <w:bodyDiv w:val="1"/>
      <w:marLeft w:val="0"/>
      <w:marRight w:val="0"/>
      <w:marTop w:val="0"/>
      <w:marBottom w:val="0"/>
      <w:divBdr>
        <w:top w:val="none" w:sz="0" w:space="0" w:color="auto"/>
        <w:left w:val="none" w:sz="0" w:space="0" w:color="auto"/>
        <w:bottom w:val="none" w:sz="0" w:space="0" w:color="auto"/>
        <w:right w:val="none" w:sz="0" w:space="0" w:color="auto"/>
      </w:divBdr>
    </w:div>
    <w:div w:id="59912066">
      <w:bodyDiv w:val="1"/>
      <w:marLeft w:val="0"/>
      <w:marRight w:val="0"/>
      <w:marTop w:val="0"/>
      <w:marBottom w:val="0"/>
      <w:divBdr>
        <w:top w:val="none" w:sz="0" w:space="0" w:color="auto"/>
        <w:left w:val="none" w:sz="0" w:space="0" w:color="auto"/>
        <w:bottom w:val="none" w:sz="0" w:space="0" w:color="auto"/>
        <w:right w:val="none" w:sz="0" w:space="0" w:color="auto"/>
      </w:divBdr>
    </w:div>
    <w:div w:id="104616044">
      <w:bodyDiv w:val="1"/>
      <w:marLeft w:val="0"/>
      <w:marRight w:val="0"/>
      <w:marTop w:val="0"/>
      <w:marBottom w:val="0"/>
      <w:divBdr>
        <w:top w:val="none" w:sz="0" w:space="0" w:color="auto"/>
        <w:left w:val="none" w:sz="0" w:space="0" w:color="auto"/>
        <w:bottom w:val="none" w:sz="0" w:space="0" w:color="auto"/>
        <w:right w:val="none" w:sz="0" w:space="0" w:color="auto"/>
      </w:divBdr>
    </w:div>
    <w:div w:id="109981852">
      <w:bodyDiv w:val="1"/>
      <w:marLeft w:val="0"/>
      <w:marRight w:val="0"/>
      <w:marTop w:val="0"/>
      <w:marBottom w:val="0"/>
      <w:divBdr>
        <w:top w:val="none" w:sz="0" w:space="0" w:color="auto"/>
        <w:left w:val="none" w:sz="0" w:space="0" w:color="auto"/>
        <w:bottom w:val="none" w:sz="0" w:space="0" w:color="auto"/>
        <w:right w:val="none" w:sz="0" w:space="0" w:color="auto"/>
      </w:divBdr>
    </w:div>
    <w:div w:id="139344890">
      <w:bodyDiv w:val="1"/>
      <w:marLeft w:val="0"/>
      <w:marRight w:val="0"/>
      <w:marTop w:val="0"/>
      <w:marBottom w:val="0"/>
      <w:divBdr>
        <w:top w:val="none" w:sz="0" w:space="0" w:color="auto"/>
        <w:left w:val="none" w:sz="0" w:space="0" w:color="auto"/>
        <w:bottom w:val="none" w:sz="0" w:space="0" w:color="auto"/>
        <w:right w:val="none" w:sz="0" w:space="0" w:color="auto"/>
      </w:divBdr>
    </w:div>
    <w:div w:id="253243698">
      <w:bodyDiv w:val="1"/>
      <w:marLeft w:val="0"/>
      <w:marRight w:val="0"/>
      <w:marTop w:val="0"/>
      <w:marBottom w:val="0"/>
      <w:divBdr>
        <w:top w:val="none" w:sz="0" w:space="0" w:color="auto"/>
        <w:left w:val="none" w:sz="0" w:space="0" w:color="auto"/>
        <w:bottom w:val="none" w:sz="0" w:space="0" w:color="auto"/>
        <w:right w:val="none" w:sz="0" w:space="0" w:color="auto"/>
      </w:divBdr>
    </w:div>
    <w:div w:id="591939893">
      <w:bodyDiv w:val="1"/>
      <w:marLeft w:val="0"/>
      <w:marRight w:val="0"/>
      <w:marTop w:val="0"/>
      <w:marBottom w:val="0"/>
      <w:divBdr>
        <w:top w:val="none" w:sz="0" w:space="0" w:color="auto"/>
        <w:left w:val="none" w:sz="0" w:space="0" w:color="auto"/>
        <w:bottom w:val="none" w:sz="0" w:space="0" w:color="auto"/>
        <w:right w:val="none" w:sz="0" w:space="0" w:color="auto"/>
      </w:divBdr>
    </w:div>
    <w:div w:id="801923603">
      <w:bodyDiv w:val="1"/>
      <w:marLeft w:val="0"/>
      <w:marRight w:val="0"/>
      <w:marTop w:val="0"/>
      <w:marBottom w:val="0"/>
      <w:divBdr>
        <w:top w:val="none" w:sz="0" w:space="0" w:color="auto"/>
        <w:left w:val="none" w:sz="0" w:space="0" w:color="auto"/>
        <w:bottom w:val="none" w:sz="0" w:space="0" w:color="auto"/>
        <w:right w:val="none" w:sz="0" w:space="0" w:color="auto"/>
      </w:divBdr>
    </w:div>
    <w:div w:id="953169378">
      <w:bodyDiv w:val="1"/>
      <w:marLeft w:val="0"/>
      <w:marRight w:val="0"/>
      <w:marTop w:val="0"/>
      <w:marBottom w:val="0"/>
      <w:divBdr>
        <w:top w:val="none" w:sz="0" w:space="0" w:color="auto"/>
        <w:left w:val="none" w:sz="0" w:space="0" w:color="auto"/>
        <w:bottom w:val="none" w:sz="0" w:space="0" w:color="auto"/>
        <w:right w:val="none" w:sz="0" w:space="0" w:color="auto"/>
      </w:divBdr>
    </w:div>
    <w:div w:id="1097603670">
      <w:bodyDiv w:val="1"/>
      <w:marLeft w:val="0"/>
      <w:marRight w:val="0"/>
      <w:marTop w:val="0"/>
      <w:marBottom w:val="0"/>
      <w:divBdr>
        <w:top w:val="none" w:sz="0" w:space="0" w:color="auto"/>
        <w:left w:val="none" w:sz="0" w:space="0" w:color="auto"/>
        <w:bottom w:val="none" w:sz="0" w:space="0" w:color="auto"/>
        <w:right w:val="none" w:sz="0" w:space="0" w:color="auto"/>
      </w:divBdr>
    </w:div>
    <w:div w:id="1107850867">
      <w:bodyDiv w:val="1"/>
      <w:marLeft w:val="0"/>
      <w:marRight w:val="0"/>
      <w:marTop w:val="0"/>
      <w:marBottom w:val="0"/>
      <w:divBdr>
        <w:top w:val="none" w:sz="0" w:space="0" w:color="auto"/>
        <w:left w:val="none" w:sz="0" w:space="0" w:color="auto"/>
        <w:bottom w:val="none" w:sz="0" w:space="0" w:color="auto"/>
        <w:right w:val="none" w:sz="0" w:space="0" w:color="auto"/>
      </w:divBdr>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223829063">
      <w:bodyDiv w:val="1"/>
      <w:marLeft w:val="0"/>
      <w:marRight w:val="0"/>
      <w:marTop w:val="0"/>
      <w:marBottom w:val="0"/>
      <w:divBdr>
        <w:top w:val="none" w:sz="0" w:space="0" w:color="auto"/>
        <w:left w:val="none" w:sz="0" w:space="0" w:color="auto"/>
        <w:bottom w:val="none" w:sz="0" w:space="0" w:color="auto"/>
        <w:right w:val="none" w:sz="0" w:space="0" w:color="auto"/>
      </w:divBdr>
    </w:div>
    <w:div w:id="1362629833">
      <w:bodyDiv w:val="1"/>
      <w:marLeft w:val="0"/>
      <w:marRight w:val="0"/>
      <w:marTop w:val="0"/>
      <w:marBottom w:val="0"/>
      <w:divBdr>
        <w:top w:val="none" w:sz="0" w:space="0" w:color="auto"/>
        <w:left w:val="none" w:sz="0" w:space="0" w:color="auto"/>
        <w:bottom w:val="none" w:sz="0" w:space="0" w:color="auto"/>
        <w:right w:val="none" w:sz="0" w:space="0" w:color="auto"/>
      </w:divBdr>
    </w:div>
    <w:div w:id="1399207120">
      <w:bodyDiv w:val="1"/>
      <w:marLeft w:val="0"/>
      <w:marRight w:val="0"/>
      <w:marTop w:val="0"/>
      <w:marBottom w:val="0"/>
      <w:divBdr>
        <w:top w:val="none" w:sz="0" w:space="0" w:color="auto"/>
        <w:left w:val="none" w:sz="0" w:space="0" w:color="auto"/>
        <w:bottom w:val="none" w:sz="0" w:space="0" w:color="auto"/>
        <w:right w:val="none" w:sz="0" w:space="0" w:color="auto"/>
      </w:divBdr>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
    <w:div w:id="1614048326">
      <w:bodyDiv w:val="1"/>
      <w:marLeft w:val="0"/>
      <w:marRight w:val="0"/>
      <w:marTop w:val="0"/>
      <w:marBottom w:val="0"/>
      <w:divBdr>
        <w:top w:val="none" w:sz="0" w:space="0" w:color="auto"/>
        <w:left w:val="none" w:sz="0" w:space="0" w:color="auto"/>
        <w:bottom w:val="none" w:sz="0" w:space="0" w:color="auto"/>
        <w:right w:val="none" w:sz="0" w:space="0" w:color="auto"/>
      </w:divBdr>
    </w:div>
    <w:div w:id="1769885441">
      <w:bodyDiv w:val="1"/>
      <w:marLeft w:val="0"/>
      <w:marRight w:val="0"/>
      <w:marTop w:val="0"/>
      <w:marBottom w:val="0"/>
      <w:divBdr>
        <w:top w:val="none" w:sz="0" w:space="0" w:color="auto"/>
        <w:left w:val="none" w:sz="0" w:space="0" w:color="auto"/>
        <w:bottom w:val="none" w:sz="0" w:space="0" w:color="auto"/>
        <w:right w:val="none" w:sz="0" w:space="0" w:color="auto"/>
      </w:divBdr>
      <w:divsChild>
        <w:div w:id="682438218">
          <w:marLeft w:val="0"/>
          <w:marRight w:val="0"/>
          <w:marTop w:val="0"/>
          <w:marBottom w:val="0"/>
          <w:divBdr>
            <w:top w:val="none" w:sz="0" w:space="0" w:color="auto"/>
            <w:left w:val="none" w:sz="0" w:space="0" w:color="auto"/>
            <w:bottom w:val="none" w:sz="0" w:space="0" w:color="auto"/>
            <w:right w:val="none" w:sz="0" w:space="0" w:color="auto"/>
          </w:divBdr>
        </w:div>
        <w:div w:id="1634560155">
          <w:marLeft w:val="0"/>
          <w:marRight w:val="0"/>
          <w:marTop w:val="0"/>
          <w:marBottom w:val="0"/>
          <w:divBdr>
            <w:top w:val="none" w:sz="0" w:space="0" w:color="auto"/>
            <w:left w:val="none" w:sz="0" w:space="0" w:color="auto"/>
            <w:bottom w:val="none" w:sz="0" w:space="0" w:color="auto"/>
            <w:right w:val="none" w:sz="0" w:space="0" w:color="auto"/>
          </w:divBdr>
        </w:div>
        <w:div w:id="794061373">
          <w:marLeft w:val="0"/>
          <w:marRight w:val="0"/>
          <w:marTop w:val="0"/>
          <w:marBottom w:val="0"/>
          <w:divBdr>
            <w:top w:val="none" w:sz="0" w:space="0" w:color="auto"/>
            <w:left w:val="none" w:sz="0" w:space="0" w:color="auto"/>
            <w:bottom w:val="none" w:sz="0" w:space="0" w:color="auto"/>
            <w:right w:val="none" w:sz="0" w:space="0" w:color="auto"/>
          </w:divBdr>
        </w:div>
        <w:div w:id="1151604180">
          <w:marLeft w:val="0"/>
          <w:marRight w:val="0"/>
          <w:marTop w:val="0"/>
          <w:marBottom w:val="0"/>
          <w:divBdr>
            <w:top w:val="none" w:sz="0" w:space="0" w:color="auto"/>
            <w:left w:val="none" w:sz="0" w:space="0" w:color="auto"/>
            <w:bottom w:val="none" w:sz="0" w:space="0" w:color="auto"/>
            <w:right w:val="none" w:sz="0" w:space="0" w:color="auto"/>
          </w:divBdr>
        </w:div>
      </w:divsChild>
    </w:div>
    <w:div w:id="1791392379">
      <w:bodyDiv w:val="1"/>
      <w:marLeft w:val="0"/>
      <w:marRight w:val="0"/>
      <w:marTop w:val="0"/>
      <w:marBottom w:val="0"/>
      <w:divBdr>
        <w:top w:val="none" w:sz="0" w:space="0" w:color="auto"/>
        <w:left w:val="none" w:sz="0" w:space="0" w:color="auto"/>
        <w:bottom w:val="none" w:sz="0" w:space="0" w:color="auto"/>
        <w:right w:val="none" w:sz="0" w:space="0" w:color="auto"/>
      </w:divBdr>
    </w:div>
    <w:div w:id="2042128949">
      <w:bodyDiv w:val="1"/>
      <w:marLeft w:val="0"/>
      <w:marRight w:val="0"/>
      <w:marTop w:val="0"/>
      <w:marBottom w:val="0"/>
      <w:divBdr>
        <w:top w:val="none" w:sz="0" w:space="0" w:color="auto"/>
        <w:left w:val="none" w:sz="0" w:space="0" w:color="auto"/>
        <w:bottom w:val="none" w:sz="0" w:space="0" w:color="auto"/>
        <w:right w:val="none" w:sz="0" w:space="0" w:color="auto"/>
      </w:divBdr>
      <w:divsChild>
        <w:div w:id="54739708">
          <w:marLeft w:val="0"/>
          <w:marRight w:val="0"/>
          <w:marTop w:val="0"/>
          <w:marBottom w:val="0"/>
          <w:divBdr>
            <w:top w:val="none" w:sz="0" w:space="0" w:color="auto"/>
            <w:left w:val="none" w:sz="0" w:space="0" w:color="auto"/>
            <w:bottom w:val="none" w:sz="0" w:space="0" w:color="auto"/>
            <w:right w:val="none" w:sz="0" w:space="0" w:color="auto"/>
          </w:divBdr>
        </w:div>
        <w:div w:id="1421635348">
          <w:marLeft w:val="0"/>
          <w:marRight w:val="0"/>
          <w:marTop w:val="0"/>
          <w:marBottom w:val="0"/>
          <w:divBdr>
            <w:top w:val="none" w:sz="0" w:space="0" w:color="auto"/>
            <w:left w:val="none" w:sz="0" w:space="0" w:color="auto"/>
            <w:bottom w:val="none" w:sz="0" w:space="0" w:color="auto"/>
            <w:right w:val="none" w:sz="0" w:space="0" w:color="auto"/>
          </w:divBdr>
        </w:div>
        <w:div w:id="236477280">
          <w:marLeft w:val="0"/>
          <w:marRight w:val="0"/>
          <w:marTop w:val="0"/>
          <w:marBottom w:val="0"/>
          <w:divBdr>
            <w:top w:val="none" w:sz="0" w:space="0" w:color="auto"/>
            <w:left w:val="none" w:sz="0" w:space="0" w:color="auto"/>
            <w:bottom w:val="none" w:sz="0" w:space="0" w:color="auto"/>
            <w:right w:val="none" w:sz="0" w:space="0" w:color="auto"/>
          </w:divBdr>
        </w:div>
        <w:div w:id="61560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skpro.com/content/dam/global/hcpportal/en_US/Prescribing_Information/Nucala/pdf/NUCALA-PI-PIL-IFU-COMBINE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n8dhaj6zs0e.cloudfront.net/50fd68b9-106b-4550-b5d0-12b045f8b184/3647bed4-ce91-4fe7-9bc5-32dbee73f80a/3647bed4-ce91-4fe7-9bc5-32dbee73f80a_viewable_rendition__v.pdf" TargetMode="External"/><Relationship Id="rId17" Type="http://schemas.openxmlformats.org/officeDocument/2006/relationships/hyperlink" Target="https://www.cms.gov/medicare/payment/part-b-drugs/asp-pricing-files" TargetMode="External"/><Relationship Id="rId2" Type="http://schemas.openxmlformats.org/officeDocument/2006/relationships/customXml" Target="../customXml/item2.xml"/><Relationship Id="rId16" Type="http://schemas.openxmlformats.org/officeDocument/2006/relationships/hyperlink" Target="https://www.eternalhealth.com/wp-content/uploads/2022/10/eternalHealth_MA-Part-B-PA-List-eff-1-1-202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nqair.com/globalassets/cinqair/prescribinginformation.pdf" TargetMode="External"/><Relationship Id="rId5" Type="http://schemas.openxmlformats.org/officeDocument/2006/relationships/styles" Target="styles.xml"/><Relationship Id="rId15" Type="http://schemas.openxmlformats.org/officeDocument/2006/relationships/hyperlink" Target="https://www.gene.com/download/pdf/xolair_prescribing.pdf" TargetMode="External"/><Relationship Id="rId10" Type="http://schemas.openxmlformats.org/officeDocument/2006/relationships/hyperlink" Target="https://rxadvance.carewebqi.com/GuidelineViewer.aspx/cver28.0/ac/ac_04586.htm?args=AQAAANCMnd8BFdERjHoAwE_Cl-sBAAAAtogmHFeQDkyCDKJTPYzHqAQAAAACAAAAAAAQZgAAAAEAACAAAAALl_F1raWFN9fBCpM7wedticBrD5F2z2heLc0Jfqxn5AAAAAAOgAAAAAIAACAAAAC9GkccRSwp_CclIbaFYF5zZfmqgzaANkulAmBMzztlpBAAAAAMPArpw8OVnxXI-3MkaCvAQAAAAEacH5U_Dgug0ilTM0TkFSx3RBNMc-PRHd0fur5EJ_Xl65FGu9ZDIM2FYGn1Y1gy6xyOe3rvmAEU_f4b6EAbGQA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elcome.optumrx.com/rxexternal/external-prescription-drug-list?type=PDPClientFormulary&amp;var=X25ETEGD&amp;infoid=X25ETEGD&amp;clientCode=ETHOEDL" TargetMode="External"/><Relationship Id="rId14" Type="http://schemas.openxmlformats.org/officeDocument/2006/relationships/hyperlink" Target="https://den8dhaj6zs0e.cloudfront.net/50fd68b9-106b-4550-b5d0-12b045f8b184/e306dc06-d580-4457-b15f-9f28545ad63a/e306dc06-d580-4457-b15f-9f28545ad63a_viewable_rendition__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e0462-7ad9-4cf3-8274-aa0cc4f080f3">
      <Terms xmlns="http://schemas.microsoft.com/office/infopath/2007/PartnerControls"/>
    </lcf76f155ced4ddcb4097134ff3c332f>
    <TaxCatchAll xmlns="2498f20f-782f-4f87-afd5-421022d6a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7D37D-E0D8-46F7-BEDF-FFBFBD885B46}">
  <ds:schemaRefs>
    <ds:schemaRef ds:uri="http://schemas.microsoft.com/sharepoint/v3/contenttype/forms"/>
  </ds:schemaRefs>
</ds:datastoreItem>
</file>

<file path=customXml/itemProps2.xml><?xml version="1.0" encoding="utf-8"?>
<ds:datastoreItem xmlns:ds="http://schemas.openxmlformats.org/officeDocument/2006/customXml" ds:itemID="{860CF4EE-56B7-4BC8-9965-1CCC54DC1657}">
  <ds:schemaRefs>
    <ds:schemaRef ds:uri="http://schemas.microsoft.com/office/2006/metadata/properties"/>
    <ds:schemaRef ds:uri="http://schemas.microsoft.com/office/infopath/2007/PartnerControls"/>
    <ds:schemaRef ds:uri="http://schemas.microsoft.com/sharepoint/v3"/>
    <ds:schemaRef ds:uri="74ba3640-328d-449a-9f7d-a6e0f48b18e2"/>
    <ds:schemaRef ds:uri="8a5f5284-53ab-4ff8-b83a-40cadec04070"/>
  </ds:schemaRefs>
</ds:datastoreItem>
</file>

<file path=customXml/itemProps3.xml><?xml version="1.0" encoding="utf-8"?>
<ds:datastoreItem xmlns:ds="http://schemas.openxmlformats.org/officeDocument/2006/customXml" ds:itemID="{69C4E0FF-95F8-4E8E-AEFB-C5A4D1A401AE}"/>
</file>

<file path=docProps/app.xml><?xml version="1.0" encoding="utf-8"?>
<Properties xmlns="http://schemas.openxmlformats.org/officeDocument/2006/extended-properties" xmlns:vt="http://schemas.openxmlformats.org/officeDocument/2006/docPropsVTypes">
  <Template>Normal</Template>
  <TotalTime>4</TotalTime>
  <Pages>8</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Cardinal</dc:creator>
  <cp:keywords/>
  <dc:description/>
  <cp:lastModifiedBy>John Vellutato</cp:lastModifiedBy>
  <cp:revision>5</cp:revision>
  <dcterms:created xsi:type="dcterms:W3CDTF">2025-04-09T13:48:00Z</dcterms:created>
  <dcterms:modified xsi:type="dcterms:W3CDTF">2025-07-28T19:23:00Z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0x0101004673728796F1AF49AA5EE7049D0CA2DC</vt:lpwstr>
  </property>
</Properties>
</file>