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67DDEA"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00883C1F" w:rsidR="00171CC3" w:rsidRPr="00171CC3" w:rsidRDefault="00131F91"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Bone Resorption Inhibitors</w:t>
      </w:r>
    </w:p>
    <w:p w14:paraId="480C9C92" w14:textId="113615EC" w:rsid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DB3C6E">
        <w:rPr>
          <w:rFonts w:ascii="Futura" w:eastAsia="Calibri" w:hAnsi="Futura" w:cs="Calibri"/>
          <w:b/>
          <w:bCs/>
          <w:color w:val="00AEDB"/>
          <w:sz w:val="24"/>
          <w:szCs w:val="24"/>
          <w:lang w:bidi="en-US"/>
        </w:rPr>
        <w:t>UMST-9</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41BD9F"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3A4AB051" w:rsidR="00320403" w:rsidRDefault="00DB3C6E"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43F6BF02" w:rsidR="00320403" w:rsidRDefault="00DB3C6E">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53AFAD32" w:rsidR="00320403" w:rsidRDefault="00D20CAD">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2D65A382" w:rsidR="00320403" w:rsidRDefault="002161F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11C1109A" w:rsidR="00320403" w:rsidRDefault="00D11B6F">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7F8721C9" w:rsidR="00320403" w:rsidRDefault="00D11B6F">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2C8A8C05" w:rsidR="00320403" w:rsidRDefault="00D11B6F">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7B149B19" w:rsidR="00320403" w:rsidRDefault="00D11B6F">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2E273647" w:rsidR="00320403" w:rsidRDefault="00D11B6F">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D20CAD" w14:paraId="6ADB9AF7"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5CC352CC" w14:textId="022DD5D5" w:rsidR="00D20CAD" w:rsidRDefault="00D20CA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4C4C5711" w14:textId="1A7902F8" w:rsidR="00D20CAD" w:rsidRDefault="00D20CA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27B503CA" w14:textId="4A1BB9EC" w:rsidR="00D20CAD" w:rsidRDefault="00D20CA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665F2357" w14:textId="77777777" w:rsidR="00D20CAD" w:rsidRDefault="00D20CAD">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6814BE2B"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This policy stands to show the criteria for and preferencing of</w:t>
      </w:r>
      <w:r w:rsidR="00827A7B">
        <w:rPr>
          <w:rFonts w:ascii="Futura" w:eastAsia="Calibri" w:hAnsi="Futura" w:cs="Calibri"/>
          <w:color w:val="000000"/>
          <w:sz w:val="20"/>
          <w:szCs w:val="20"/>
          <w:lang w:bidi="en-US"/>
        </w:rPr>
        <w:t xml:space="preserve"> agents within the therapeutic class of </w:t>
      </w:r>
      <w:r w:rsidR="00594068">
        <w:rPr>
          <w:rFonts w:ascii="Futura" w:eastAsia="Calibri" w:hAnsi="Futura" w:cs="Calibri"/>
          <w:color w:val="000000"/>
          <w:sz w:val="20"/>
          <w:szCs w:val="20"/>
          <w:lang w:bidi="en-US"/>
        </w:rPr>
        <w:t>Bone Resorption Inhibitors</w:t>
      </w:r>
      <w:r w:rsidR="003A2608">
        <w:rPr>
          <w:rFonts w:ascii="Futura" w:eastAsia="Calibri" w:hAnsi="Futura" w:cs="Calibri"/>
          <w:color w:val="000000"/>
          <w:sz w:val="20"/>
          <w:szCs w:val="20"/>
          <w:lang w:bidi="en-US"/>
        </w:rPr>
        <w:t xml:space="preserve">, and policy for treatment of </w:t>
      </w:r>
      <w:r w:rsidR="00594068">
        <w:rPr>
          <w:rFonts w:ascii="Futura" w:eastAsia="Calibri" w:hAnsi="Futura" w:cs="Calibri"/>
          <w:color w:val="000000"/>
          <w:sz w:val="20"/>
          <w:szCs w:val="20"/>
          <w:lang w:bidi="en-US"/>
        </w:rPr>
        <w:t xml:space="preserve">both </w:t>
      </w:r>
      <w:r w:rsidR="009A1CA5">
        <w:rPr>
          <w:rFonts w:ascii="Futura" w:eastAsia="Calibri" w:hAnsi="Futura" w:cs="Calibri"/>
          <w:color w:val="000000"/>
          <w:sz w:val="20"/>
          <w:szCs w:val="20"/>
          <w:lang w:bidi="en-US"/>
        </w:rPr>
        <w:t>Osteoporosis and Other Indications</w:t>
      </w:r>
      <w:r w:rsidR="00827A7B">
        <w:rPr>
          <w:rFonts w:ascii="Futura" w:eastAsia="Calibri" w:hAnsi="Futura" w:cs="Calibri"/>
          <w:color w:val="000000"/>
          <w:sz w:val="20"/>
          <w:szCs w:val="20"/>
          <w:lang w:bidi="en-US"/>
        </w:rPr>
        <w:t xml:space="preserve">.  At the time of creation of this policy, there are </w:t>
      </w:r>
      <w:r w:rsidR="003A2608">
        <w:rPr>
          <w:rFonts w:ascii="Futura" w:eastAsia="Calibri" w:hAnsi="Futura" w:cs="Calibri"/>
          <w:color w:val="000000"/>
          <w:sz w:val="20"/>
          <w:szCs w:val="20"/>
          <w:lang w:bidi="en-US"/>
        </w:rPr>
        <w:t>three</w:t>
      </w:r>
      <w:r w:rsidR="004B7D63">
        <w:rPr>
          <w:rFonts w:ascii="Futura" w:eastAsia="Calibri" w:hAnsi="Futura" w:cs="Calibri"/>
          <w:color w:val="000000"/>
          <w:sz w:val="20"/>
          <w:szCs w:val="20"/>
          <w:lang w:bidi="en-US"/>
        </w:rPr>
        <w:t xml:space="preserve"> agents to be reviewed: </w:t>
      </w:r>
      <w:r w:rsidR="00960DCB">
        <w:rPr>
          <w:rFonts w:ascii="Futura" w:eastAsia="Calibri" w:hAnsi="Futura" w:cs="Calibri"/>
          <w:color w:val="000000"/>
          <w:sz w:val="20"/>
          <w:szCs w:val="20"/>
          <w:lang w:bidi="en-US"/>
        </w:rPr>
        <w:t>Pr</w:t>
      </w:r>
      <w:r w:rsidR="00BD6ABF">
        <w:rPr>
          <w:rFonts w:ascii="Futura" w:eastAsia="Calibri" w:hAnsi="Futura" w:cs="Calibri"/>
          <w:color w:val="000000"/>
          <w:sz w:val="20"/>
          <w:szCs w:val="20"/>
          <w:lang w:bidi="en-US"/>
        </w:rPr>
        <w:t>olia</w:t>
      </w:r>
      <w:r w:rsidR="00960DCB">
        <w:rPr>
          <w:rFonts w:ascii="Futura" w:eastAsia="Calibri" w:hAnsi="Futura" w:cs="Calibri"/>
          <w:color w:val="000000"/>
          <w:sz w:val="20"/>
          <w:szCs w:val="20"/>
          <w:lang w:bidi="en-US"/>
        </w:rPr>
        <w:t xml:space="preserve"> (</w:t>
      </w:r>
      <w:r w:rsidR="002E587A">
        <w:rPr>
          <w:rFonts w:ascii="Futura" w:eastAsia="Calibri" w:hAnsi="Futura" w:cs="Calibri"/>
          <w:color w:val="000000"/>
          <w:sz w:val="20"/>
          <w:szCs w:val="20"/>
          <w:lang w:bidi="en-US"/>
        </w:rPr>
        <w:t>denosumab</w:t>
      </w:r>
      <w:r w:rsidR="00960DCB">
        <w:rPr>
          <w:rFonts w:ascii="Futura" w:eastAsia="Calibri" w:hAnsi="Futura" w:cs="Calibri"/>
          <w:color w:val="000000"/>
          <w:sz w:val="20"/>
          <w:szCs w:val="20"/>
          <w:lang w:bidi="en-US"/>
        </w:rPr>
        <w:t>)-</w:t>
      </w:r>
      <w:r w:rsidR="00BD6ABF">
        <w:rPr>
          <w:rFonts w:ascii="Futura" w:eastAsia="Calibri" w:hAnsi="Futura" w:cs="Calibri"/>
          <w:color w:val="000000"/>
          <w:sz w:val="20"/>
          <w:szCs w:val="20"/>
          <w:lang w:bidi="en-US"/>
        </w:rPr>
        <w:t>J0897</w:t>
      </w:r>
      <w:r w:rsidR="00960DCB">
        <w:rPr>
          <w:rFonts w:ascii="Futura" w:eastAsia="Calibri" w:hAnsi="Futura" w:cs="Calibri"/>
          <w:color w:val="000000"/>
          <w:sz w:val="20"/>
          <w:szCs w:val="20"/>
          <w:lang w:bidi="en-US"/>
        </w:rPr>
        <w:t xml:space="preserve">, </w:t>
      </w:r>
      <w:r w:rsidR="00E008DE">
        <w:rPr>
          <w:rFonts w:ascii="Futura" w:eastAsia="Calibri" w:hAnsi="Futura" w:cs="Calibri"/>
          <w:color w:val="000000"/>
          <w:sz w:val="20"/>
          <w:szCs w:val="20"/>
          <w:lang w:bidi="en-US"/>
        </w:rPr>
        <w:t>Xgeva</w:t>
      </w:r>
      <w:r w:rsidR="00960DCB">
        <w:rPr>
          <w:rFonts w:ascii="Futura" w:eastAsia="Calibri" w:hAnsi="Futura" w:cs="Calibri"/>
          <w:color w:val="000000"/>
          <w:sz w:val="20"/>
          <w:szCs w:val="20"/>
          <w:lang w:bidi="en-US"/>
        </w:rPr>
        <w:t xml:space="preserve"> (</w:t>
      </w:r>
      <w:r w:rsidR="002E587A">
        <w:rPr>
          <w:rFonts w:ascii="Futura" w:eastAsia="Calibri" w:hAnsi="Futura" w:cs="Calibri"/>
          <w:color w:val="000000"/>
          <w:sz w:val="20"/>
          <w:szCs w:val="20"/>
          <w:lang w:bidi="en-US"/>
        </w:rPr>
        <w:t>denosumab</w:t>
      </w:r>
      <w:r w:rsidR="00960DCB">
        <w:rPr>
          <w:rFonts w:ascii="Futura" w:eastAsia="Calibri" w:hAnsi="Futura" w:cs="Calibri"/>
          <w:color w:val="000000"/>
          <w:sz w:val="20"/>
          <w:szCs w:val="20"/>
          <w:lang w:bidi="en-US"/>
        </w:rPr>
        <w:t>)-</w:t>
      </w:r>
      <w:r w:rsidR="00E008DE">
        <w:rPr>
          <w:rFonts w:ascii="Futura" w:eastAsia="Calibri" w:hAnsi="Futura" w:cs="Calibri"/>
          <w:color w:val="000000"/>
          <w:sz w:val="20"/>
          <w:szCs w:val="20"/>
          <w:lang w:bidi="en-US"/>
        </w:rPr>
        <w:t>J0897</w:t>
      </w:r>
      <w:r w:rsidR="00960DCB">
        <w:rPr>
          <w:rFonts w:ascii="Futura" w:eastAsia="Calibri" w:hAnsi="Futura" w:cs="Calibri"/>
          <w:color w:val="000000"/>
          <w:sz w:val="20"/>
          <w:szCs w:val="20"/>
          <w:lang w:bidi="en-US"/>
        </w:rPr>
        <w:t xml:space="preserve">, and </w:t>
      </w:r>
      <w:r w:rsidR="00E008DE">
        <w:rPr>
          <w:rFonts w:ascii="Futura" w:eastAsia="Calibri" w:hAnsi="Futura" w:cs="Calibri"/>
          <w:color w:val="000000"/>
          <w:sz w:val="20"/>
          <w:szCs w:val="20"/>
          <w:lang w:bidi="en-US"/>
        </w:rPr>
        <w:t>Evenity</w:t>
      </w:r>
      <w:r w:rsidR="00960DCB">
        <w:rPr>
          <w:rFonts w:ascii="Futura" w:eastAsia="Calibri" w:hAnsi="Futura" w:cs="Calibri"/>
          <w:color w:val="000000"/>
          <w:sz w:val="20"/>
          <w:szCs w:val="20"/>
          <w:lang w:bidi="en-US"/>
        </w:rPr>
        <w:t xml:space="preserve"> (</w:t>
      </w:r>
      <w:r w:rsidR="00846004">
        <w:rPr>
          <w:rFonts w:ascii="Futura" w:eastAsia="Calibri" w:hAnsi="Futura" w:cs="Calibri"/>
          <w:color w:val="000000"/>
          <w:sz w:val="20"/>
          <w:szCs w:val="20"/>
          <w:lang w:bidi="en-US"/>
        </w:rPr>
        <w:t>romosozumab-aqqg</w:t>
      </w:r>
      <w:r w:rsidR="00960DCB">
        <w:rPr>
          <w:rFonts w:ascii="Futura" w:eastAsia="Calibri" w:hAnsi="Futura" w:cs="Calibri"/>
          <w:color w:val="000000"/>
          <w:sz w:val="20"/>
          <w:szCs w:val="20"/>
          <w:lang w:bidi="en-US"/>
        </w:rPr>
        <w:t>)-J</w:t>
      </w:r>
      <w:r w:rsidR="002E587A">
        <w:rPr>
          <w:rFonts w:ascii="Futura" w:eastAsia="Calibri" w:hAnsi="Futura" w:cs="Calibri"/>
          <w:color w:val="000000"/>
          <w:sz w:val="20"/>
          <w:szCs w:val="20"/>
          <w:lang w:bidi="en-US"/>
        </w:rPr>
        <w:t>3111</w:t>
      </w:r>
      <w:r w:rsidR="009861C2">
        <w:rPr>
          <w:rFonts w:ascii="Futura" w:eastAsia="Calibri" w:hAnsi="Futura" w:cs="Calibri"/>
          <w:color w:val="000000"/>
          <w:sz w:val="20"/>
          <w:szCs w:val="20"/>
          <w:lang w:bidi="en-US"/>
        </w:rPr>
        <w:t xml:space="preserve">.  </w:t>
      </w:r>
      <w:r w:rsidR="004807F3">
        <w:rPr>
          <w:rFonts w:ascii="Futura" w:eastAsia="Calibri" w:hAnsi="Futura" w:cs="Calibri"/>
          <w:color w:val="000000"/>
          <w:sz w:val="20"/>
          <w:szCs w:val="20"/>
          <w:lang w:bidi="en-US"/>
        </w:rPr>
        <w:t xml:space="preserve">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r w:rsidR="00D36B7E">
        <w:rPr>
          <w:rFonts w:ascii="Futura" w:eastAsia="Calibri" w:hAnsi="Futura" w:cs="Calibri"/>
          <w:color w:val="000000"/>
          <w:sz w:val="20"/>
          <w:szCs w:val="20"/>
          <w:lang w:bidi="en-US"/>
        </w:rPr>
        <w:t xml:space="preserve">  This policy crosses benefits, and portions attributed to the part D benefit will be handled by the PBM (at this time OptumRx) while those under part B will be handled by our TPA, nirvanaHealth.  </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0921E6EF" w14:textId="77777777" w:rsidR="005C3AEB" w:rsidRDefault="005C3AEB" w:rsidP="00554794">
      <w:pPr>
        <w:spacing w:after="0" w:line="240" w:lineRule="auto"/>
        <w:jc w:val="both"/>
        <w:rPr>
          <w:rFonts w:ascii="Futura" w:eastAsia="Calibri" w:hAnsi="Futura" w:cs="Calibri"/>
          <w:color w:val="000000"/>
          <w:sz w:val="20"/>
          <w:szCs w:val="20"/>
          <w:lang w:bidi="en-US"/>
        </w:rPr>
      </w:pPr>
    </w:p>
    <w:p w14:paraId="794941D6" w14:textId="77777777" w:rsidR="005C3AEB" w:rsidRDefault="005C3AEB" w:rsidP="00554794">
      <w:pPr>
        <w:spacing w:after="0" w:line="240" w:lineRule="auto"/>
        <w:jc w:val="both"/>
        <w:rPr>
          <w:rFonts w:ascii="Futura" w:eastAsia="Calibri" w:hAnsi="Futura" w:cs="Calibri"/>
          <w:color w:val="000000"/>
          <w:sz w:val="20"/>
          <w:szCs w:val="20"/>
          <w:lang w:bidi="en-US"/>
        </w:rPr>
      </w:pPr>
    </w:p>
    <w:p w14:paraId="762D72F9" w14:textId="77777777" w:rsidR="005C3AEB" w:rsidRDefault="005C3AEB" w:rsidP="00554794">
      <w:pPr>
        <w:spacing w:after="0" w:line="240" w:lineRule="auto"/>
        <w:jc w:val="both"/>
        <w:rPr>
          <w:rFonts w:ascii="Futura" w:eastAsia="Calibri" w:hAnsi="Futura" w:cs="Calibri"/>
          <w:color w:val="000000"/>
          <w:sz w:val="20"/>
          <w:szCs w:val="20"/>
          <w:lang w:bidi="en-US"/>
        </w:rPr>
      </w:pPr>
    </w:p>
    <w:p w14:paraId="5825E2BA" w14:textId="77777777" w:rsidR="005C3AEB" w:rsidRDefault="005C3AEB" w:rsidP="00554794">
      <w:pPr>
        <w:spacing w:after="0" w:line="240" w:lineRule="auto"/>
        <w:jc w:val="both"/>
        <w:rPr>
          <w:rFonts w:ascii="Futura" w:eastAsia="Calibri" w:hAnsi="Futura" w:cs="Calibri"/>
          <w:color w:val="000000"/>
          <w:sz w:val="20"/>
          <w:szCs w:val="20"/>
          <w:lang w:bidi="en-US"/>
        </w:rPr>
      </w:pPr>
    </w:p>
    <w:p w14:paraId="4F74DAA3" w14:textId="77777777" w:rsidR="005C3AEB" w:rsidRDefault="005C3AEB" w:rsidP="00554794">
      <w:pPr>
        <w:spacing w:after="0" w:line="240" w:lineRule="auto"/>
        <w:jc w:val="both"/>
        <w:rPr>
          <w:rFonts w:ascii="Futura" w:eastAsia="Calibri" w:hAnsi="Futura" w:cs="Calibri"/>
          <w:color w:val="000000"/>
          <w:sz w:val="20"/>
          <w:szCs w:val="20"/>
          <w:lang w:bidi="en-US"/>
        </w:rPr>
      </w:pPr>
    </w:p>
    <w:p w14:paraId="4CCF4B87" w14:textId="77777777" w:rsidR="005C3AEB" w:rsidRDefault="005C3AEB" w:rsidP="00554794">
      <w:pPr>
        <w:spacing w:after="0" w:line="240" w:lineRule="auto"/>
        <w:jc w:val="both"/>
        <w:rPr>
          <w:rFonts w:ascii="Futura" w:eastAsia="Calibri" w:hAnsi="Futura" w:cs="Calibri"/>
          <w:color w:val="000000"/>
          <w:sz w:val="20"/>
          <w:szCs w:val="20"/>
          <w:lang w:bidi="en-US"/>
        </w:rPr>
      </w:pPr>
    </w:p>
    <w:p w14:paraId="2BF0066C" w14:textId="77777777" w:rsidR="005C3AEB" w:rsidRDefault="005C3AEB" w:rsidP="00554794">
      <w:pPr>
        <w:spacing w:after="0" w:line="240" w:lineRule="auto"/>
        <w:jc w:val="both"/>
        <w:rPr>
          <w:rFonts w:ascii="Futura" w:eastAsia="Calibri" w:hAnsi="Futura" w:cs="Calibri"/>
          <w:color w:val="000000"/>
          <w:sz w:val="20"/>
          <w:szCs w:val="20"/>
          <w:lang w:bidi="en-US"/>
        </w:rPr>
      </w:pPr>
    </w:p>
    <w:p w14:paraId="68922BE1" w14:textId="77777777" w:rsidR="00751A52" w:rsidRDefault="00751A52" w:rsidP="00751A52">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4AAA4BDA" w14:textId="77777777" w:rsidR="00751A52" w:rsidRDefault="00751A52" w:rsidP="00751A52">
      <w:pPr>
        <w:spacing w:after="0" w:line="240" w:lineRule="auto"/>
        <w:jc w:val="both"/>
        <w:rPr>
          <w:rFonts w:ascii="Futura" w:hAnsi="Futura"/>
          <w:b/>
          <w:bCs/>
          <w:color w:val="00AEDB"/>
          <w:sz w:val="24"/>
          <w:szCs w:val="24"/>
        </w:rPr>
      </w:pPr>
    </w:p>
    <w:p w14:paraId="022CC05E" w14:textId="77777777" w:rsidR="00751A52" w:rsidRDefault="00751A52" w:rsidP="00751A52">
      <w:pPr>
        <w:pStyle w:val="ListParagraph"/>
        <w:numPr>
          <w:ilvl w:val="0"/>
          <w:numId w:val="164"/>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27348271" w14:textId="1AFBA5B1" w:rsidR="00417020" w:rsidRDefault="00417020" w:rsidP="00417020">
      <w:pPr>
        <w:pStyle w:val="ListParagraph"/>
        <w:numPr>
          <w:ilvl w:val="1"/>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For </w:t>
      </w:r>
      <w:r w:rsidR="00200124">
        <w:rPr>
          <w:rFonts w:ascii="Futura" w:hAnsi="Futura"/>
          <w:b/>
          <w:bCs/>
          <w:color w:val="00AEDB"/>
          <w:sz w:val="24"/>
          <w:szCs w:val="24"/>
        </w:rPr>
        <w:t>osteoporosis:</w:t>
      </w:r>
    </w:p>
    <w:p w14:paraId="09DC8548" w14:textId="0E6CD9D4" w:rsidR="00751A52" w:rsidRDefault="00751A52" w:rsidP="000535B4">
      <w:pPr>
        <w:pStyle w:val="ListParagraph"/>
        <w:numPr>
          <w:ilvl w:val="2"/>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Medical record must indicate maximized use of part D formulary agents found here: </w:t>
      </w:r>
      <w:hyperlink r:id="rId10" w:history="1">
        <w:r w:rsidRPr="009A00EB">
          <w:rPr>
            <w:rStyle w:val="Hyperlink"/>
            <w:rFonts w:ascii="Futura" w:hAnsi="Futura"/>
            <w:b/>
            <w:bCs/>
            <w:sz w:val="24"/>
            <w:szCs w:val="24"/>
          </w:rPr>
          <w:t>https://welcome.optumrx.com/rxexternal/external-prescription-drug-list?type=PDPClientFormulary&amp;var=X25ETEGD&amp;infoid=X25ETEGD&amp;clientCode=ETHOEDL</w:t>
        </w:r>
      </w:hyperlink>
      <w:r>
        <w:rPr>
          <w:rFonts w:ascii="Futura" w:hAnsi="Futura"/>
          <w:b/>
          <w:bCs/>
          <w:color w:val="00AEDB"/>
          <w:sz w:val="24"/>
          <w:szCs w:val="24"/>
        </w:rPr>
        <w:t xml:space="preserve"> </w:t>
      </w:r>
    </w:p>
    <w:p w14:paraId="6BF1D84C" w14:textId="106B6E57" w:rsidR="00751A52" w:rsidRPr="007C590C" w:rsidRDefault="00751A52" w:rsidP="000535B4">
      <w:pPr>
        <w:pStyle w:val="ListParagraph"/>
        <w:numPr>
          <w:ilvl w:val="2"/>
          <w:numId w:val="164"/>
        </w:numPr>
        <w:spacing w:after="0" w:line="240" w:lineRule="auto"/>
        <w:jc w:val="both"/>
        <w:rPr>
          <w:rFonts w:ascii="Futura" w:hAnsi="Futura"/>
          <w:b/>
          <w:bCs/>
          <w:color w:val="00AEDB"/>
          <w:sz w:val="24"/>
          <w:szCs w:val="24"/>
        </w:rPr>
      </w:pPr>
      <w:bookmarkStart w:id="0" w:name="_Hlk190865049"/>
      <w:r>
        <w:rPr>
          <w:rFonts w:ascii="Futura" w:hAnsi="Futura"/>
          <w:b/>
          <w:bCs/>
          <w:color w:val="00AEDB"/>
          <w:sz w:val="24"/>
          <w:szCs w:val="24"/>
        </w:rPr>
        <w:t>If the requested agent is for</w:t>
      </w:r>
      <w:r w:rsidR="00A73286">
        <w:rPr>
          <w:rFonts w:ascii="Futura" w:hAnsi="Futura"/>
          <w:b/>
          <w:bCs/>
          <w:color w:val="00AEDB"/>
          <w:sz w:val="24"/>
          <w:szCs w:val="24"/>
        </w:rPr>
        <w:t xml:space="preserve"> zoledronic acid</w:t>
      </w:r>
      <w:r w:rsidR="00C00261">
        <w:rPr>
          <w:rFonts w:ascii="Futura" w:hAnsi="Futura"/>
          <w:b/>
          <w:bCs/>
          <w:color w:val="00AEDB"/>
          <w:sz w:val="24"/>
          <w:szCs w:val="24"/>
        </w:rPr>
        <w:t xml:space="preserve"> or injected ibandronat</w:t>
      </w:r>
      <w:r w:rsidR="00F933A4">
        <w:rPr>
          <w:rFonts w:ascii="Futura" w:hAnsi="Futura"/>
          <w:b/>
          <w:bCs/>
          <w:color w:val="00AEDB"/>
          <w:sz w:val="24"/>
          <w:szCs w:val="24"/>
        </w:rPr>
        <w:t>e</w:t>
      </w:r>
      <w:r w:rsidR="00C00261">
        <w:rPr>
          <w:rFonts w:ascii="Futura" w:hAnsi="Futura"/>
          <w:b/>
          <w:bCs/>
          <w:color w:val="00AEDB"/>
          <w:sz w:val="24"/>
          <w:szCs w:val="24"/>
        </w:rPr>
        <w:t>,</w:t>
      </w:r>
      <w:bookmarkEnd w:id="0"/>
      <w:r>
        <w:rPr>
          <w:rFonts w:ascii="Futura" w:hAnsi="Futura"/>
          <w:b/>
          <w:bCs/>
          <w:color w:val="00AEDB"/>
          <w:sz w:val="24"/>
          <w:szCs w:val="24"/>
        </w:rPr>
        <w:t xml:space="preserve"> the case can be reviewed for medical necessity and use of prior pharmacy agents and may be approved.</w:t>
      </w:r>
    </w:p>
    <w:p w14:paraId="3803D4D6" w14:textId="4678F520" w:rsidR="00751A52" w:rsidRDefault="00751A52" w:rsidP="000535B4">
      <w:pPr>
        <w:pStyle w:val="ListParagraph"/>
        <w:numPr>
          <w:ilvl w:val="2"/>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requested agent is for </w:t>
      </w:r>
      <w:r w:rsidR="00D61818">
        <w:rPr>
          <w:rFonts w:ascii="Futura" w:hAnsi="Futura"/>
          <w:b/>
          <w:bCs/>
          <w:color w:val="00AEDB"/>
          <w:sz w:val="24"/>
          <w:szCs w:val="24"/>
        </w:rPr>
        <w:t>Prolia or Evenity</w:t>
      </w:r>
      <w:r>
        <w:rPr>
          <w:rFonts w:ascii="Futura" w:hAnsi="Futura"/>
          <w:b/>
          <w:bCs/>
          <w:color w:val="00AEDB"/>
          <w:sz w:val="24"/>
          <w:szCs w:val="24"/>
        </w:rPr>
        <w:t xml:space="preserve">, the use of prior pharmacy agents, and trial and lack of clinical response to </w:t>
      </w:r>
      <w:r w:rsidR="0021482C">
        <w:rPr>
          <w:rFonts w:ascii="Futura" w:hAnsi="Futura"/>
          <w:b/>
          <w:bCs/>
          <w:color w:val="00AEDB"/>
          <w:sz w:val="24"/>
          <w:szCs w:val="24"/>
        </w:rPr>
        <w:t>zoledronic acid or ibandronate injection, the request</w:t>
      </w:r>
      <w:r>
        <w:rPr>
          <w:rFonts w:ascii="Futura" w:hAnsi="Futura"/>
          <w:b/>
          <w:bCs/>
          <w:color w:val="00AEDB"/>
          <w:sz w:val="24"/>
          <w:szCs w:val="24"/>
        </w:rPr>
        <w:t xml:space="preserve"> may be approved.</w:t>
      </w:r>
    </w:p>
    <w:p w14:paraId="60B576F0" w14:textId="2C7EF01C" w:rsidR="000535B4" w:rsidRDefault="000535B4" w:rsidP="000535B4">
      <w:pPr>
        <w:pStyle w:val="ListParagraph"/>
        <w:numPr>
          <w:ilvl w:val="1"/>
          <w:numId w:val="164"/>
        </w:numPr>
        <w:spacing w:after="0" w:line="240" w:lineRule="auto"/>
        <w:jc w:val="both"/>
        <w:rPr>
          <w:rFonts w:ascii="Futura" w:hAnsi="Futura"/>
          <w:b/>
          <w:bCs/>
          <w:color w:val="00AEDB"/>
          <w:sz w:val="24"/>
          <w:szCs w:val="24"/>
        </w:rPr>
      </w:pPr>
      <w:r>
        <w:rPr>
          <w:rFonts w:ascii="Futura" w:hAnsi="Futura"/>
          <w:b/>
          <w:bCs/>
          <w:color w:val="00AEDB"/>
          <w:sz w:val="24"/>
          <w:szCs w:val="24"/>
        </w:rPr>
        <w:t>For</w:t>
      </w:r>
      <w:r w:rsidR="00041910">
        <w:rPr>
          <w:rFonts w:ascii="Futura" w:hAnsi="Futura"/>
          <w:b/>
          <w:bCs/>
          <w:color w:val="00AEDB"/>
          <w:sz w:val="24"/>
          <w:szCs w:val="24"/>
        </w:rPr>
        <w:t xml:space="preserve"> oncology</w:t>
      </w:r>
      <w:r w:rsidR="00970E0C">
        <w:rPr>
          <w:rFonts w:ascii="Futura" w:hAnsi="Futura"/>
          <w:b/>
          <w:bCs/>
          <w:color w:val="00AEDB"/>
          <w:sz w:val="24"/>
          <w:szCs w:val="24"/>
        </w:rPr>
        <w:t xml:space="preserve"> indications</w:t>
      </w:r>
      <w:r w:rsidR="00041910">
        <w:rPr>
          <w:rFonts w:ascii="Futura" w:hAnsi="Futura"/>
          <w:b/>
          <w:bCs/>
          <w:color w:val="00AEDB"/>
          <w:sz w:val="24"/>
          <w:szCs w:val="24"/>
        </w:rPr>
        <w:t>:</w:t>
      </w:r>
    </w:p>
    <w:p w14:paraId="47E528FB" w14:textId="157B811A" w:rsidR="00041910" w:rsidRDefault="00041910" w:rsidP="00041910">
      <w:pPr>
        <w:pStyle w:val="ListParagraph"/>
        <w:numPr>
          <w:ilvl w:val="2"/>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requested agent is for an injectable </w:t>
      </w:r>
      <w:r w:rsidR="00F933A4">
        <w:rPr>
          <w:rFonts w:ascii="Futura" w:hAnsi="Futura"/>
          <w:b/>
          <w:bCs/>
          <w:color w:val="00AEDB"/>
          <w:sz w:val="24"/>
          <w:szCs w:val="24"/>
        </w:rPr>
        <w:t>pamidronate or zoledronic acid</w:t>
      </w:r>
      <w:r w:rsidR="00970E0C">
        <w:rPr>
          <w:rFonts w:ascii="Futura" w:hAnsi="Futura"/>
          <w:b/>
          <w:bCs/>
          <w:color w:val="00AEDB"/>
          <w:sz w:val="24"/>
          <w:szCs w:val="24"/>
        </w:rPr>
        <w:t xml:space="preserve"> the case can be reviewed for prior authorization based on medical necessity and may be approved.</w:t>
      </w:r>
    </w:p>
    <w:p w14:paraId="30D77D99" w14:textId="05531CE5" w:rsidR="00970E0C" w:rsidRDefault="00970E0C" w:rsidP="00041910">
      <w:pPr>
        <w:pStyle w:val="ListParagraph"/>
        <w:numPr>
          <w:ilvl w:val="2"/>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requested agent is for </w:t>
      </w:r>
      <w:r w:rsidR="006F2B1C">
        <w:rPr>
          <w:rFonts w:ascii="Futura" w:hAnsi="Futura"/>
          <w:b/>
          <w:bCs/>
          <w:color w:val="00AEDB"/>
          <w:sz w:val="24"/>
          <w:szCs w:val="24"/>
        </w:rPr>
        <w:t>Xgeva</w:t>
      </w:r>
      <w:r w:rsidR="00760400">
        <w:rPr>
          <w:rFonts w:ascii="Futura" w:hAnsi="Futura"/>
          <w:b/>
          <w:bCs/>
          <w:color w:val="00AEDB"/>
          <w:sz w:val="24"/>
          <w:szCs w:val="24"/>
        </w:rPr>
        <w:t>, the trial and lack of clinical response to injectable pamidronate or zoledronic ac</w:t>
      </w:r>
      <w:r w:rsidR="007D685B">
        <w:rPr>
          <w:rFonts w:ascii="Futura" w:hAnsi="Futura"/>
          <w:b/>
          <w:bCs/>
          <w:color w:val="00AEDB"/>
          <w:sz w:val="24"/>
          <w:szCs w:val="24"/>
        </w:rPr>
        <w:t>id</w:t>
      </w:r>
      <w:r w:rsidR="001A5C77">
        <w:rPr>
          <w:rFonts w:ascii="Futura" w:hAnsi="Futura"/>
          <w:b/>
          <w:bCs/>
          <w:color w:val="00AEDB"/>
          <w:sz w:val="24"/>
          <w:szCs w:val="24"/>
        </w:rPr>
        <w:t xml:space="preserve"> and the agent is medically necessary, it may be approved.</w:t>
      </w:r>
    </w:p>
    <w:p w14:paraId="0608DC67" w14:textId="77777777" w:rsidR="00751A52" w:rsidRDefault="00751A52" w:rsidP="00751A52">
      <w:pPr>
        <w:pStyle w:val="ListParagraph"/>
        <w:numPr>
          <w:ilvl w:val="0"/>
          <w:numId w:val="164"/>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1CFC19E9" w14:textId="77777777" w:rsidR="00751A52" w:rsidRPr="00732065" w:rsidRDefault="00751A52" w:rsidP="00751A52">
      <w:pPr>
        <w:pStyle w:val="ListParagraph"/>
        <w:numPr>
          <w:ilvl w:val="1"/>
          <w:numId w:val="164"/>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0E7AC5DB" w14:textId="0F43E994" w:rsidR="00751A52" w:rsidRPr="00732065" w:rsidRDefault="00751A52" w:rsidP="00751A52">
      <w:pPr>
        <w:pStyle w:val="ListParagraph"/>
        <w:numPr>
          <w:ilvl w:val="1"/>
          <w:numId w:val="164"/>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4214B2">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71C0867A" w14:textId="17051D9B" w:rsidR="005C3AEB" w:rsidRDefault="00751A52" w:rsidP="00751A52">
      <w:pPr>
        <w:spacing w:after="0" w:line="240" w:lineRule="auto"/>
        <w:jc w:val="both"/>
        <w:rPr>
          <w:rFonts w:ascii="Futura" w:eastAsia="Calibri" w:hAnsi="Futura" w:cs="Calibri"/>
          <w:color w:val="000000"/>
          <w:sz w:val="20"/>
          <w:szCs w:val="20"/>
          <w:lang w:bidi="en-US"/>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05C6F5B5" w14:textId="77777777" w:rsidR="005C3AEB" w:rsidRDefault="005C3AEB" w:rsidP="00554794">
      <w:pPr>
        <w:spacing w:after="0" w:line="240" w:lineRule="auto"/>
        <w:jc w:val="both"/>
        <w:rPr>
          <w:rFonts w:ascii="Futura" w:eastAsia="Calibri" w:hAnsi="Futura" w:cs="Calibri"/>
          <w:color w:val="000000"/>
          <w:sz w:val="20"/>
          <w:szCs w:val="20"/>
          <w:lang w:bidi="en-US"/>
        </w:rPr>
      </w:pPr>
    </w:p>
    <w:p w14:paraId="16E2FC07" w14:textId="77777777" w:rsidR="005C3AEB" w:rsidRDefault="005C3AEB" w:rsidP="00554794">
      <w:pPr>
        <w:spacing w:after="0" w:line="240" w:lineRule="auto"/>
        <w:jc w:val="both"/>
        <w:rPr>
          <w:rFonts w:ascii="Futura" w:eastAsia="Calibri" w:hAnsi="Futura" w:cs="Calibri"/>
          <w:color w:val="000000"/>
          <w:sz w:val="20"/>
          <w:szCs w:val="20"/>
          <w:lang w:bidi="en-US"/>
        </w:rPr>
      </w:pPr>
    </w:p>
    <w:p w14:paraId="4D085817" w14:textId="2D9A8FD3"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F41B3A">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42E5438B" w14:textId="77777777" w:rsidR="003E698F" w:rsidRDefault="003E698F" w:rsidP="00320403">
      <w:pPr>
        <w:spacing w:after="0" w:line="240" w:lineRule="auto"/>
        <w:rPr>
          <w:rFonts w:ascii="Futura" w:hAnsi="Futura"/>
          <w:b/>
          <w:bCs/>
          <w:color w:val="00AEDB"/>
          <w:sz w:val="24"/>
          <w:szCs w:val="24"/>
        </w:rPr>
      </w:pPr>
    </w:p>
    <w:p w14:paraId="15BDFBEC" w14:textId="22D965C3" w:rsidR="00255C58" w:rsidRDefault="006629D0" w:rsidP="00320403">
      <w:pPr>
        <w:spacing w:after="0" w:line="240" w:lineRule="auto"/>
        <w:rPr>
          <w:rFonts w:ascii="Futura" w:hAnsi="Futura"/>
          <w:b/>
          <w:bCs/>
          <w:color w:val="00AEDB"/>
          <w:sz w:val="24"/>
          <w:szCs w:val="24"/>
        </w:rPr>
      </w:pPr>
      <w:r>
        <w:rPr>
          <w:rFonts w:ascii="Futura" w:hAnsi="Futura"/>
          <w:b/>
          <w:bCs/>
          <w:color w:val="00AEDB"/>
          <w:sz w:val="24"/>
          <w:szCs w:val="24"/>
        </w:rPr>
        <w:t xml:space="preserve">Osteoporosis </w:t>
      </w:r>
      <w:r w:rsidR="00255C58">
        <w:rPr>
          <w:rFonts w:ascii="Futura" w:hAnsi="Futura"/>
          <w:b/>
          <w:bCs/>
          <w:color w:val="00AEDB"/>
          <w:sz w:val="24"/>
          <w:szCs w:val="24"/>
        </w:rPr>
        <w:t>Preferencing:</w:t>
      </w:r>
    </w:p>
    <w:p w14:paraId="366D9618" w14:textId="0EE9CE92"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FA0979">
        <w:rPr>
          <w:rFonts w:ascii="Futura" w:hAnsi="Futura"/>
          <w:b/>
          <w:bCs/>
          <w:sz w:val="24"/>
          <w:szCs w:val="24"/>
        </w:rPr>
        <w:t>Part D formulary agents</w:t>
      </w:r>
      <w:r w:rsidR="00D36B7E">
        <w:rPr>
          <w:rFonts w:ascii="Futura" w:hAnsi="Futura"/>
          <w:b/>
          <w:bCs/>
          <w:sz w:val="24"/>
          <w:szCs w:val="24"/>
        </w:rPr>
        <w:t xml:space="preserve"> </w:t>
      </w:r>
    </w:p>
    <w:p w14:paraId="6E9CE643" w14:textId="7B9E228A" w:rsidR="0090595D" w:rsidRDefault="0090595D" w:rsidP="00320403">
      <w:pPr>
        <w:spacing w:after="0" w:line="240" w:lineRule="auto"/>
        <w:rPr>
          <w:rFonts w:ascii="Futura" w:hAnsi="Futura"/>
          <w:b/>
          <w:bCs/>
          <w:sz w:val="24"/>
          <w:szCs w:val="24"/>
        </w:rPr>
      </w:pPr>
      <w:r w:rsidRPr="00CD2097">
        <w:rPr>
          <w:rFonts w:ascii="Futura" w:hAnsi="Futura"/>
          <w:b/>
          <w:bCs/>
          <w:sz w:val="24"/>
          <w:szCs w:val="24"/>
        </w:rPr>
        <w:lastRenderedPageBreak/>
        <w:t>Secondary Agents:</w:t>
      </w:r>
      <w:r w:rsidR="00CD2097">
        <w:rPr>
          <w:rFonts w:ascii="Futura" w:hAnsi="Futura"/>
          <w:b/>
          <w:bCs/>
          <w:sz w:val="24"/>
          <w:szCs w:val="24"/>
        </w:rPr>
        <w:t xml:space="preserve"> </w:t>
      </w:r>
      <w:r w:rsidR="00EC25ED">
        <w:rPr>
          <w:rFonts w:ascii="Futura" w:hAnsi="Futura"/>
          <w:b/>
          <w:bCs/>
          <w:sz w:val="24"/>
          <w:szCs w:val="24"/>
        </w:rPr>
        <w:t>Zoledronic acid, ibandronate</w:t>
      </w:r>
      <w:r w:rsidR="00413622">
        <w:rPr>
          <w:rFonts w:ascii="Futura" w:hAnsi="Futura"/>
          <w:b/>
          <w:bCs/>
          <w:sz w:val="24"/>
          <w:szCs w:val="24"/>
        </w:rPr>
        <w:t xml:space="preserve"> (via </w:t>
      </w:r>
      <w:r w:rsidR="00C05525">
        <w:rPr>
          <w:rFonts w:ascii="Futura" w:hAnsi="Futura"/>
          <w:b/>
          <w:bCs/>
          <w:sz w:val="24"/>
          <w:szCs w:val="24"/>
        </w:rPr>
        <w:t>medical benefit administered</w:t>
      </w:r>
      <w:r w:rsidR="00E536A6">
        <w:rPr>
          <w:rFonts w:ascii="Futura" w:hAnsi="Futura"/>
          <w:b/>
          <w:bCs/>
          <w:sz w:val="24"/>
          <w:szCs w:val="24"/>
        </w:rPr>
        <w:t xml:space="preserve"> in-office)</w:t>
      </w:r>
    </w:p>
    <w:p w14:paraId="1887478B" w14:textId="7E9B088C" w:rsidR="00AE372C" w:rsidRPr="00CD2097" w:rsidRDefault="00AE372C" w:rsidP="00320403">
      <w:pPr>
        <w:spacing w:after="0" w:line="240" w:lineRule="auto"/>
        <w:rPr>
          <w:rFonts w:ascii="Futura" w:hAnsi="Futura"/>
          <w:sz w:val="24"/>
          <w:szCs w:val="24"/>
        </w:rPr>
      </w:pPr>
      <w:r>
        <w:rPr>
          <w:rFonts w:ascii="Futura" w:hAnsi="Futura"/>
          <w:b/>
          <w:bCs/>
          <w:sz w:val="24"/>
          <w:szCs w:val="24"/>
        </w:rPr>
        <w:t xml:space="preserve">Tertiary Agents: </w:t>
      </w:r>
      <w:r w:rsidR="00EC25ED">
        <w:rPr>
          <w:rFonts w:ascii="Futura" w:hAnsi="Futura"/>
          <w:b/>
          <w:bCs/>
          <w:sz w:val="24"/>
          <w:szCs w:val="24"/>
        </w:rPr>
        <w:t>Prolia, Evenity</w:t>
      </w:r>
    </w:p>
    <w:p w14:paraId="6CA5A894" w14:textId="77777777" w:rsidR="00255C58" w:rsidRDefault="00255C58" w:rsidP="00320403">
      <w:pPr>
        <w:spacing w:after="0" w:line="240" w:lineRule="auto"/>
        <w:rPr>
          <w:rFonts w:ascii="Futura" w:hAnsi="Futura"/>
          <w:b/>
          <w:bCs/>
          <w:color w:val="00AEDB"/>
          <w:sz w:val="24"/>
          <w:szCs w:val="24"/>
        </w:rPr>
      </w:pPr>
    </w:p>
    <w:p w14:paraId="70B559B7" w14:textId="2A09F875" w:rsidR="006629D0" w:rsidRDefault="006629D0" w:rsidP="006629D0">
      <w:pPr>
        <w:spacing w:after="0" w:line="240" w:lineRule="auto"/>
        <w:rPr>
          <w:rFonts w:ascii="Futura" w:hAnsi="Futura"/>
          <w:b/>
          <w:bCs/>
          <w:color w:val="00AEDB"/>
          <w:sz w:val="24"/>
          <w:szCs w:val="24"/>
        </w:rPr>
      </w:pPr>
      <w:r>
        <w:rPr>
          <w:rFonts w:ascii="Futura" w:hAnsi="Futura"/>
          <w:b/>
          <w:bCs/>
          <w:color w:val="00AEDB"/>
          <w:sz w:val="24"/>
          <w:szCs w:val="24"/>
        </w:rPr>
        <w:t>Other Indication Preferencing:</w:t>
      </w:r>
    </w:p>
    <w:p w14:paraId="23C57824" w14:textId="7FAE578D" w:rsidR="006629D0" w:rsidRPr="00CD2097" w:rsidRDefault="006629D0" w:rsidP="006629D0">
      <w:pPr>
        <w:spacing w:after="0" w:line="240" w:lineRule="auto"/>
        <w:rPr>
          <w:rFonts w:ascii="Futura" w:hAnsi="Futura"/>
          <w:sz w:val="24"/>
          <w:szCs w:val="24"/>
        </w:rPr>
      </w:pPr>
      <w:r w:rsidRPr="00CD2097">
        <w:rPr>
          <w:rFonts w:ascii="Futura" w:hAnsi="Futura"/>
          <w:b/>
          <w:bCs/>
          <w:sz w:val="24"/>
          <w:szCs w:val="24"/>
        </w:rPr>
        <w:t>Preferred Agents:</w:t>
      </w:r>
      <w:r>
        <w:rPr>
          <w:rFonts w:ascii="Futura" w:hAnsi="Futura"/>
          <w:b/>
          <w:bCs/>
          <w:sz w:val="24"/>
          <w:szCs w:val="24"/>
        </w:rPr>
        <w:t xml:space="preserve"> </w:t>
      </w:r>
      <w:r w:rsidR="000E7A68">
        <w:rPr>
          <w:rFonts w:ascii="Futura" w:hAnsi="Futura"/>
          <w:b/>
          <w:bCs/>
          <w:sz w:val="24"/>
          <w:szCs w:val="24"/>
        </w:rPr>
        <w:t>Pamidronate, zoledronic acid</w:t>
      </w:r>
    </w:p>
    <w:p w14:paraId="699ECD66" w14:textId="5C669375" w:rsidR="006629D0" w:rsidRDefault="006629D0" w:rsidP="006629D0">
      <w:pPr>
        <w:spacing w:after="0" w:line="240" w:lineRule="auto"/>
        <w:rPr>
          <w:rFonts w:ascii="Futura" w:hAnsi="Futura"/>
          <w:b/>
          <w:bCs/>
          <w:sz w:val="24"/>
          <w:szCs w:val="24"/>
        </w:rPr>
      </w:pPr>
      <w:r w:rsidRPr="00CD2097">
        <w:rPr>
          <w:rFonts w:ascii="Futura" w:hAnsi="Futura"/>
          <w:b/>
          <w:bCs/>
          <w:sz w:val="24"/>
          <w:szCs w:val="24"/>
        </w:rPr>
        <w:t>Secondary Agents:</w:t>
      </w:r>
      <w:r>
        <w:rPr>
          <w:rFonts w:ascii="Futura" w:hAnsi="Futura"/>
          <w:b/>
          <w:bCs/>
          <w:sz w:val="24"/>
          <w:szCs w:val="24"/>
        </w:rPr>
        <w:t xml:space="preserve"> </w:t>
      </w:r>
      <w:r w:rsidR="000E7A68">
        <w:rPr>
          <w:rFonts w:ascii="Futura" w:hAnsi="Futura"/>
          <w:b/>
          <w:bCs/>
          <w:sz w:val="24"/>
          <w:szCs w:val="24"/>
        </w:rPr>
        <w:t>Prolia, Xgeva</w:t>
      </w:r>
    </w:p>
    <w:p w14:paraId="04F972CA" w14:textId="77777777" w:rsidR="006629D0" w:rsidRDefault="006629D0"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561B832D" w14:textId="54E55127" w:rsidR="006D4824" w:rsidRDefault="003E1B92" w:rsidP="006D4824">
      <w:pPr>
        <w:jc w:val="both"/>
        <w:rPr>
          <w:rFonts w:ascii="Aptos Narrow" w:eastAsia="Times New Roman" w:hAnsi="Aptos Narrow" w:cs="Times New Roman"/>
          <w:b/>
          <w:bCs/>
          <w:color w:val="000000"/>
          <w:kern w:val="0"/>
          <w14:ligatures w14:val="none"/>
        </w:rPr>
      </w:pPr>
      <w:r w:rsidRPr="00467FD5">
        <w:rPr>
          <w:rFonts w:ascii="Futura" w:eastAsia="Calibri" w:hAnsi="Futura" w:cs="Calibri"/>
          <w:b/>
          <w:bCs/>
          <w:color w:val="000000"/>
          <w:sz w:val="20"/>
          <w:szCs w:val="20"/>
          <w:lang w:bidi="en-US"/>
        </w:rPr>
        <w:t>HCPCS</w:t>
      </w:r>
      <w:r w:rsidRPr="00450132">
        <w:rPr>
          <w:rFonts w:ascii="Futura" w:eastAsia="Calibri" w:hAnsi="Futura" w:cs="Calibri"/>
          <w:b/>
          <w:bCs/>
          <w:color w:val="000000"/>
          <w:sz w:val="20"/>
          <w:szCs w:val="20"/>
          <w:lang w:bidi="en-US"/>
        </w:rPr>
        <w:t xml:space="preserve">: </w:t>
      </w:r>
      <w:r w:rsidR="006D4824" w:rsidRPr="00450132">
        <w:rPr>
          <w:rFonts w:ascii="Aptos Narrow" w:eastAsia="Times New Roman" w:hAnsi="Aptos Narrow" w:cs="Times New Roman"/>
          <w:b/>
          <w:bCs/>
          <w:color w:val="000000"/>
          <w:kern w:val="0"/>
          <w14:ligatures w14:val="none"/>
        </w:rPr>
        <w:t>J3489, J1740, J0897, J3111, J2430</w:t>
      </w:r>
      <w:r w:rsidR="007A34FE">
        <w:rPr>
          <w:rFonts w:ascii="Aptos Narrow" w:eastAsia="Times New Roman" w:hAnsi="Aptos Narrow" w:cs="Times New Roman"/>
          <w:b/>
          <w:bCs/>
          <w:color w:val="000000"/>
          <w:kern w:val="0"/>
          <w14:ligatures w14:val="none"/>
        </w:rPr>
        <w:t>, J3110</w:t>
      </w:r>
    </w:p>
    <w:p w14:paraId="73756E07" w14:textId="289DB943" w:rsidR="00F525B1" w:rsidRPr="00450132" w:rsidRDefault="00F525B1" w:rsidP="006D4824">
      <w:pPr>
        <w:jc w:val="both"/>
        <w:rPr>
          <w:rFonts w:ascii="Aptos Narrow" w:eastAsia="Times New Roman" w:hAnsi="Aptos Narrow" w:cs="Times New Roman"/>
          <w:b/>
          <w:bCs/>
          <w:color w:val="000000"/>
          <w:kern w:val="0"/>
          <w14:ligatures w14:val="none"/>
        </w:rPr>
      </w:pPr>
      <w:r w:rsidRPr="00F525B1">
        <w:rPr>
          <w:noProof/>
        </w:rPr>
        <w:drawing>
          <wp:inline distT="0" distB="0" distL="0" distR="0" wp14:anchorId="472B1565" wp14:editId="76AA9D59">
            <wp:extent cx="5943600" cy="184150"/>
            <wp:effectExtent l="0" t="0" r="0" b="6350"/>
            <wp:docPr id="11984193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4150"/>
                    </a:xfrm>
                    <a:prstGeom prst="rect">
                      <a:avLst/>
                    </a:prstGeom>
                    <a:noFill/>
                    <a:ln>
                      <a:noFill/>
                    </a:ln>
                  </pic:spPr>
                </pic:pic>
              </a:graphicData>
            </a:graphic>
          </wp:inline>
        </w:drawing>
      </w:r>
    </w:p>
    <w:p w14:paraId="5990266D" w14:textId="77777777" w:rsidR="00DB48B1" w:rsidRPr="00DB48B1" w:rsidRDefault="00DB48B1" w:rsidP="007215D2">
      <w:pPr>
        <w:numPr>
          <w:ilvl w:val="0"/>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Intravenous bisphosphonates may be indicated for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0A1F0888" w14:textId="2D1D4206"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Breast cancer, adjuvant therapy,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6396F038"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evidence of metastatic disease</w:t>
      </w:r>
    </w:p>
    <w:p w14:paraId="308A71A1"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4A360CCC" w14:textId="1900ABA1"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Postmenopausal female (</w:t>
      </w:r>
      <w:r w:rsidR="007215D2" w:rsidRPr="00DB48B1">
        <w:rPr>
          <w:rFonts w:ascii="Futura" w:eastAsia="Calibri" w:hAnsi="Futura" w:cs="Calibri"/>
          <w:color w:val="000000"/>
          <w:sz w:val="20"/>
          <w:szCs w:val="20"/>
          <w:lang w:bidi="en-US"/>
        </w:rPr>
        <w:t>i.e.</w:t>
      </w:r>
      <w:r w:rsidRPr="00DB48B1">
        <w:rPr>
          <w:rFonts w:ascii="Futura" w:eastAsia="Calibri" w:hAnsi="Futura" w:cs="Calibri"/>
          <w:color w:val="000000"/>
          <w:sz w:val="20"/>
          <w:szCs w:val="20"/>
          <w:lang w:bidi="en-US"/>
        </w:rPr>
        <w:t>, physiologic menopause, surgical menopause, or menopause induced by ovarian ablation or suppression)</w:t>
      </w:r>
      <w:r w:rsidR="007215D2" w:rsidRPr="00DB48B1">
        <w:rPr>
          <w:rFonts w:ascii="Futura" w:eastAsia="Calibri" w:hAnsi="Futura" w:cs="Calibri"/>
          <w:color w:val="000000"/>
          <w:sz w:val="20"/>
          <w:szCs w:val="20"/>
          <w:lang w:bidi="en-US"/>
        </w:rPr>
        <w:t xml:space="preserve"> </w:t>
      </w:r>
    </w:p>
    <w:p w14:paraId="1695C9C0" w14:textId="623FBB04"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Hypercalcemia of malignancy,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0B6983D9"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18 years or older</w:t>
      </w:r>
    </w:p>
    <w:p w14:paraId="69F3DF0A"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Albumin-corrected serum calcium of 12 mg/dL (3 mmol/L) or greater</w:t>
      </w:r>
    </w:p>
    <w:p w14:paraId="4BC08036"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Current malignancy</w:t>
      </w:r>
    </w:p>
    <w:p w14:paraId="330381F1"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Hypercalcemia due to malignancy</w:t>
      </w:r>
    </w:p>
    <w:p w14:paraId="289CCABA" w14:textId="4529679A" w:rsidR="00DB48B1" w:rsidRPr="00DB48B1" w:rsidRDefault="007215D2"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Patients</w:t>
      </w:r>
      <w:r w:rsidR="00DB48B1" w:rsidRPr="00DB48B1">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DB48B1" w:rsidRPr="00DB48B1">
        <w:rPr>
          <w:rFonts w:ascii="Futura" w:eastAsia="Calibri" w:hAnsi="Futura" w:cs="Calibri"/>
          <w:color w:val="000000"/>
          <w:sz w:val="20"/>
          <w:szCs w:val="20"/>
          <w:lang w:bidi="en-US"/>
        </w:rPr>
        <w:t>not pregnant</w:t>
      </w:r>
    </w:p>
    <w:p w14:paraId="221A02AF"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Vigorous saline hydration, with urine output of 2 L per day or greater, being maintained</w:t>
      </w:r>
    </w:p>
    <w:p w14:paraId="5AE5C77E" w14:textId="20776674"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Osteopenia or low bone mass, and need for treatment with zoledronic acid,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C231766"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65 years or older</w:t>
      </w:r>
    </w:p>
    <w:p w14:paraId="294569BD"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Femoral neck, spine, or total hip bone mineral density T-score between -1.0 to -2.5</w:t>
      </w:r>
    </w:p>
    <w:p w14:paraId="66F64EA6"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12343217"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Postmenopausal female</w:t>
      </w:r>
    </w:p>
    <w:p w14:paraId="77725287" w14:textId="6B21C153"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Osteoporosis, and need for treatment,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77D4EB64"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Clinical scenario,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3E576054" w14:textId="4BC96732" w:rsidR="00DB48B1" w:rsidRPr="00DB48B1" w:rsidRDefault="00DB48B1" w:rsidP="007215D2">
      <w:pPr>
        <w:numPr>
          <w:ilvl w:val="3"/>
          <w:numId w:val="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Osteoporosis in female,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91739E0" w14:textId="0888CC86" w:rsidR="00DB48B1" w:rsidRPr="00DB48B1" w:rsidRDefault="00DB48B1" w:rsidP="007215D2">
      <w:pPr>
        <w:numPr>
          <w:ilvl w:val="4"/>
          <w:numId w:val="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Documented osteoporosis,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1" w:name="cl_c_104"/>
      <w:bookmarkEnd w:id="1"/>
      <w:r w:rsidRPr="00DB48B1">
        <w:rPr>
          <w:rFonts w:ascii="Futura" w:eastAsia="Calibri" w:hAnsi="Futura" w:cs="Calibri"/>
          <w:color w:val="000000"/>
          <w:sz w:val="20"/>
          <w:szCs w:val="20"/>
          <w:lang w:bidi="en-US"/>
        </w:rPr>
        <w:t>:</w:t>
      </w:r>
    </w:p>
    <w:p w14:paraId="4B142B87" w14:textId="77777777" w:rsidR="00DB48B1" w:rsidRPr="00DB48B1" w:rsidRDefault="00DB48B1" w:rsidP="007215D2">
      <w:pPr>
        <w:numPr>
          <w:ilvl w:val="5"/>
          <w:numId w:val="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Femoral neck, spine, or total hip bone mineral density T-score between -1.0 to -2.5 and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5FD6BC1F" w14:textId="41E09C60" w:rsidR="00DB48B1" w:rsidRPr="00DB48B1" w:rsidRDefault="00DB48B1" w:rsidP="007215D2">
      <w:pPr>
        <w:numPr>
          <w:ilvl w:val="6"/>
          <w:numId w:val="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 10-year probability for major osteoporotic fracture of 20% or greater</w:t>
      </w:r>
    </w:p>
    <w:p w14:paraId="4BFBE88C" w14:textId="071A00C8" w:rsidR="00DB48B1" w:rsidRPr="00DB48B1" w:rsidRDefault="00DB48B1" w:rsidP="007215D2">
      <w:pPr>
        <w:numPr>
          <w:ilvl w:val="6"/>
          <w:numId w:val="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(FRAX®)10-year probability of hip fracture greater than country-specific threshold (</w:t>
      </w:r>
      <w:r w:rsidR="007215D2" w:rsidRPr="00DB48B1">
        <w:rPr>
          <w:rFonts w:ascii="Futura" w:eastAsia="Calibri" w:hAnsi="Futura" w:cs="Calibri"/>
          <w:color w:val="000000"/>
          <w:sz w:val="20"/>
          <w:szCs w:val="20"/>
          <w:lang w:bidi="en-US"/>
        </w:rPr>
        <w:t>e.g.</w:t>
      </w:r>
      <w:r w:rsidRPr="00DB48B1">
        <w:rPr>
          <w:rFonts w:ascii="Futura" w:eastAsia="Calibri" w:hAnsi="Futura" w:cs="Calibri"/>
          <w:color w:val="000000"/>
          <w:sz w:val="20"/>
          <w:szCs w:val="20"/>
          <w:lang w:bidi="en-US"/>
        </w:rPr>
        <w:t>, 3% or greater in the United States)</w:t>
      </w:r>
      <w:r w:rsidR="007215D2" w:rsidRPr="00DB48B1">
        <w:rPr>
          <w:rFonts w:ascii="Futura" w:eastAsia="Calibri" w:hAnsi="Futura" w:cs="Calibri"/>
          <w:color w:val="000000"/>
          <w:sz w:val="20"/>
          <w:szCs w:val="20"/>
          <w:lang w:bidi="en-US"/>
        </w:rPr>
        <w:t xml:space="preserve"> </w:t>
      </w:r>
    </w:p>
    <w:p w14:paraId="1A15234B" w14:textId="77777777" w:rsidR="00DB48B1" w:rsidRPr="00DB48B1" w:rsidRDefault="00DB48B1" w:rsidP="007215D2">
      <w:pPr>
        <w:numPr>
          <w:ilvl w:val="6"/>
          <w:numId w:val="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Fragility fracture of proximal humerus, pelvis, or distal forearm in patient 50 years or older</w:t>
      </w:r>
    </w:p>
    <w:p w14:paraId="37F7C552" w14:textId="77777777" w:rsidR="00DB48B1" w:rsidRPr="00DB48B1" w:rsidRDefault="00DB48B1" w:rsidP="007215D2">
      <w:pPr>
        <w:numPr>
          <w:ilvl w:val="5"/>
          <w:numId w:val="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lastRenderedPageBreak/>
        <w:t>Femoral neck, spine, or total hip bone mineral density T-score -2.5 or less</w:t>
      </w:r>
    </w:p>
    <w:p w14:paraId="3759A2CC" w14:textId="70EA9FC9" w:rsidR="00DB48B1" w:rsidRPr="00DB48B1" w:rsidRDefault="00DB48B1" w:rsidP="007215D2">
      <w:pPr>
        <w:numPr>
          <w:ilvl w:val="5"/>
          <w:numId w:val="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Hip or vertebral fragility (</w:t>
      </w:r>
      <w:r w:rsidR="007215D2" w:rsidRPr="00DB48B1">
        <w:rPr>
          <w:rFonts w:ascii="Futura" w:eastAsia="Calibri" w:hAnsi="Futura" w:cs="Calibri"/>
          <w:color w:val="000000"/>
          <w:sz w:val="20"/>
          <w:szCs w:val="20"/>
          <w:lang w:bidi="en-US"/>
        </w:rPr>
        <w:t>i.e.</w:t>
      </w:r>
      <w:r w:rsidRPr="00DB48B1">
        <w:rPr>
          <w:rFonts w:ascii="Futura" w:eastAsia="Calibri" w:hAnsi="Futura" w:cs="Calibri"/>
          <w:color w:val="000000"/>
          <w:sz w:val="20"/>
          <w:szCs w:val="20"/>
          <w:lang w:bidi="en-US"/>
        </w:rPr>
        <w:t xml:space="preserve">, </w:t>
      </w:r>
      <w:r w:rsidR="007215D2" w:rsidRPr="00DB48B1">
        <w:rPr>
          <w:rFonts w:ascii="Futura" w:eastAsia="Calibri" w:hAnsi="Futura" w:cs="Calibri"/>
          <w:color w:val="000000"/>
          <w:sz w:val="20"/>
          <w:szCs w:val="20"/>
          <w:lang w:bidi="en-US"/>
        </w:rPr>
        <w:t>low trauma</w:t>
      </w:r>
      <w:r w:rsidRPr="00DB48B1">
        <w:rPr>
          <w:rFonts w:ascii="Futura" w:eastAsia="Calibri" w:hAnsi="Futura" w:cs="Calibri"/>
          <w:color w:val="000000"/>
          <w:sz w:val="20"/>
          <w:szCs w:val="20"/>
          <w:lang w:bidi="en-US"/>
        </w:rPr>
        <w:t>) fracture in patient 50 years or older</w:t>
      </w:r>
    </w:p>
    <w:p w14:paraId="04C734F2" w14:textId="77777777" w:rsidR="00DB48B1" w:rsidRPr="00DB48B1" w:rsidRDefault="00DB48B1" w:rsidP="007215D2">
      <w:pPr>
        <w:numPr>
          <w:ilvl w:val="4"/>
          <w:numId w:val="1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 is postmenopausal.</w:t>
      </w:r>
    </w:p>
    <w:p w14:paraId="6946CA4E" w14:textId="14A124BC" w:rsidR="00DB48B1" w:rsidRPr="00DB48B1" w:rsidRDefault="00DB48B1" w:rsidP="007215D2">
      <w:pPr>
        <w:numPr>
          <w:ilvl w:val="3"/>
          <w:numId w:val="1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Osteoporosis in male,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bookmarkStart w:id="2" w:name="cl_c_113"/>
      <w:bookmarkEnd w:id="2"/>
      <w:r w:rsidRPr="00DB48B1">
        <w:rPr>
          <w:rFonts w:ascii="Futura" w:eastAsia="Calibri" w:hAnsi="Futura" w:cs="Calibri"/>
          <w:color w:val="000000"/>
          <w:sz w:val="20"/>
          <w:szCs w:val="20"/>
          <w:lang w:bidi="en-US"/>
        </w:rPr>
        <w:t>:</w:t>
      </w:r>
    </w:p>
    <w:p w14:paraId="5BCBFA7C" w14:textId="77777777" w:rsidR="00DB48B1" w:rsidRPr="00DB48B1" w:rsidRDefault="00DB48B1" w:rsidP="007215D2">
      <w:pPr>
        <w:numPr>
          <w:ilvl w:val="4"/>
          <w:numId w:val="1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Clinical scenario,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3B555352" w14:textId="77777777" w:rsidR="00DB48B1" w:rsidRPr="00DB48B1" w:rsidRDefault="00DB48B1" w:rsidP="007215D2">
      <w:pPr>
        <w:numPr>
          <w:ilvl w:val="5"/>
          <w:numId w:val="1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Femoral neck, spine, or total hip bone mineral density T-score between -1.0 to -2.5 and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536A3652" w14:textId="20EAE58C" w:rsidR="00DB48B1" w:rsidRPr="00DB48B1" w:rsidRDefault="00DB48B1" w:rsidP="007215D2">
      <w:pPr>
        <w:numPr>
          <w:ilvl w:val="6"/>
          <w:numId w:val="1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(FRAX®)10-year probability for major osteoporotic fracture of 20% or greater</w:t>
      </w:r>
    </w:p>
    <w:p w14:paraId="2CB2D735" w14:textId="69E7C099" w:rsidR="00DB48B1" w:rsidRPr="00DB48B1" w:rsidRDefault="00DB48B1" w:rsidP="007215D2">
      <w:pPr>
        <w:numPr>
          <w:ilvl w:val="6"/>
          <w:numId w:val="1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(FRAX®)10-year probability of hip fracture greater than country-specific threshold (</w:t>
      </w:r>
      <w:r w:rsidR="007215D2" w:rsidRPr="00DB48B1">
        <w:rPr>
          <w:rFonts w:ascii="Futura" w:eastAsia="Calibri" w:hAnsi="Futura" w:cs="Calibri"/>
          <w:color w:val="000000"/>
          <w:sz w:val="20"/>
          <w:szCs w:val="20"/>
          <w:lang w:bidi="en-US"/>
        </w:rPr>
        <w:t>e.g.</w:t>
      </w:r>
      <w:r w:rsidRPr="00DB48B1">
        <w:rPr>
          <w:rFonts w:ascii="Futura" w:eastAsia="Calibri" w:hAnsi="Futura" w:cs="Calibri"/>
          <w:color w:val="000000"/>
          <w:sz w:val="20"/>
          <w:szCs w:val="20"/>
          <w:lang w:bidi="en-US"/>
        </w:rPr>
        <w:t>, 3% or greater in United States)</w:t>
      </w:r>
      <w:r w:rsidR="007215D2" w:rsidRPr="00DB48B1">
        <w:rPr>
          <w:rFonts w:ascii="Futura" w:eastAsia="Calibri" w:hAnsi="Futura" w:cs="Calibri"/>
          <w:color w:val="000000"/>
          <w:sz w:val="20"/>
          <w:szCs w:val="20"/>
          <w:lang w:bidi="en-US"/>
        </w:rPr>
        <w:t xml:space="preserve"> </w:t>
      </w:r>
    </w:p>
    <w:p w14:paraId="63F6E9EA" w14:textId="7B2539C5" w:rsidR="00DB48B1" w:rsidRPr="00DB48B1" w:rsidRDefault="00DB48B1" w:rsidP="007215D2">
      <w:pPr>
        <w:numPr>
          <w:ilvl w:val="5"/>
          <w:numId w:val="1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Femoral neck, spine, or total hip bone mineral density T-score -2.5 or less</w:t>
      </w:r>
      <w:bookmarkStart w:id="3" w:name="cl_c_116"/>
      <w:bookmarkEnd w:id="3"/>
    </w:p>
    <w:p w14:paraId="127891CC" w14:textId="076840F2" w:rsidR="00DB48B1" w:rsidRPr="00DB48B1" w:rsidRDefault="00DB48B1" w:rsidP="007215D2">
      <w:pPr>
        <w:numPr>
          <w:ilvl w:val="5"/>
          <w:numId w:val="1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Hip or vertebral fragility (</w:t>
      </w:r>
      <w:r w:rsidR="007215D2" w:rsidRPr="00DB48B1">
        <w:rPr>
          <w:rFonts w:ascii="Futura" w:eastAsia="Calibri" w:hAnsi="Futura" w:cs="Calibri"/>
          <w:color w:val="000000"/>
          <w:sz w:val="20"/>
          <w:szCs w:val="20"/>
          <w:lang w:bidi="en-US"/>
        </w:rPr>
        <w:t>i.e.</w:t>
      </w:r>
      <w:r w:rsidRPr="00DB48B1">
        <w:rPr>
          <w:rFonts w:ascii="Futura" w:eastAsia="Calibri" w:hAnsi="Futura" w:cs="Calibri"/>
          <w:color w:val="000000"/>
          <w:sz w:val="20"/>
          <w:szCs w:val="20"/>
          <w:lang w:bidi="en-US"/>
        </w:rPr>
        <w:t xml:space="preserve">, </w:t>
      </w:r>
      <w:r w:rsidR="007215D2" w:rsidRPr="00DB48B1">
        <w:rPr>
          <w:rFonts w:ascii="Futura" w:eastAsia="Calibri" w:hAnsi="Futura" w:cs="Calibri"/>
          <w:color w:val="000000"/>
          <w:sz w:val="20"/>
          <w:szCs w:val="20"/>
          <w:lang w:bidi="en-US"/>
        </w:rPr>
        <w:t>low trauma</w:t>
      </w:r>
      <w:r w:rsidRPr="00DB48B1">
        <w:rPr>
          <w:rFonts w:ascii="Futura" w:eastAsia="Calibri" w:hAnsi="Futura" w:cs="Calibri"/>
          <w:color w:val="000000"/>
          <w:sz w:val="20"/>
          <w:szCs w:val="20"/>
          <w:lang w:bidi="en-US"/>
        </w:rPr>
        <w:t>) fracture in patient 50 years or older</w:t>
      </w:r>
    </w:p>
    <w:p w14:paraId="367E0624" w14:textId="77777777" w:rsidR="00DB48B1" w:rsidRPr="00DB48B1" w:rsidRDefault="00DB48B1" w:rsidP="007215D2">
      <w:pPr>
        <w:numPr>
          <w:ilvl w:val="5"/>
          <w:numId w:val="1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Osteoporosis secondary to hypogonadism and failure or intolerance of testosterone</w:t>
      </w:r>
    </w:p>
    <w:p w14:paraId="1BBE746A" w14:textId="77777777" w:rsidR="00DB48B1" w:rsidRPr="00DB48B1" w:rsidRDefault="00DB48B1" w:rsidP="007215D2">
      <w:pPr>
        <w:numPr>
          <w:ilvl w:val="4"/>
          <w:numId w:val="1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Prescribed medication is zoledronic acid.</w:t>
      </w:r>
    </w:p>
    <w:p w14:paraId="7484B81C" w14:textId="70BD91F6" w:rsidR="00DB48B1" w:rsidRPr="00DB48B1" w:rsidRDefault="00DB48B1" w:rsidP="007215D2">
      <w:pPr>
        <w:numPr>
          <w:ilvl w:val="3"/>
          <w:numId w:val="1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Glucocorticoid-induced osteoporosis in male or female,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bookmarkStart w:id="4" w:name="cl_c_118"/>
      <w:bookmarkEnd w:id="4"/>
      <w:r w:rsidRPr="00DB48B1">
        <w:rPr>
          <w:rFonts w:ascii="Futura" w:eastAsia="Calibri" w:hAnsi="Futura" w:cs="Calibri"/>
          <w:color w:val="000000"/>
          <w:sz w:val="20"/>
          <w:szCs w:val="20"/>
          <w:lang w:bidi="en-US"/>
        </w:rPr>
        <w:t>:</w:t>
      </w:r>
    </w:p>
    <w:p w14:paraId="2297ED74" w14:textId="77777777" w:rsidR="00DB48B1" w:rsidRPr="00DB48B1" w:rsidRDefault="00DB48B1" w:rsidP="007215D2">
      <w:pPr>
        <w:numPr>
          <w:ilvl w:val="4"/>
          <w:numId w:val="1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18 years or older</w:t>
      </w:r>
    </w:p>
    <w:p w14:paraId="397D488B" w14:textId="77777777" w:rsidR="00DB48B1" w:rsidRPr="00DB48B1" w:rsidRDefault="00DB48B1" w:rsidP="007215D2">
      <w:pPr>
        <w:numPr>
          <w:ilvl w:val="4"/>
          <w:numId w:val="1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Documented osteoporosis,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1654C854" w14:textId="77777777" w:rsidR="00DB48B1" w:rsidRPr="00DB48B1" w:rsidRDefault="00DB48B1" w:rsidP="007215D2">
      <w:pPr>
        <w:numPr>
          <w:ilvl w:val="5"/>
          <w:numId w:val="1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Femoral neck, lumbar spine, or total hip bone mineral density T-score of less than -2.0</w:t>
      </w:r>
    </w:p>
    <w:p w14:paraId="4D95EB19" w14:textId="77777777" w:rsidR="00DB48B1" w:rsidRPr="00DB48B1" w:rsidRDefault="00DB48B1" w:rsidP="007215D2">
      <w:pPr>
        <w:numPr>
          <w:ilvl w:val="5"/>
          <w:numId w:val="1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History of osteoporotic fracture</w:t>
      </w:r>
    </w:p>
    <w:p w14:paraId="0B68FAD9" w14:textId="77777777" w:rsidR="00DB48B1" w:rsidRPr="00DB48B1" w:rsidRDefault="00DB48B1" w:rsidP="007215D2">
      <w:pPr>
        <w:numPr>
          <w:ilvl w:val="4"/>
          <w:numId w:val="1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Duration of glucocorticoid therapy expected to be 3 months or longer</w:t>
      </w:r>
    </w:p>
    <w:p w14:paraId="556C055D" w14:textId="77777777" w:rsidR="00DB48B1" w:rsidRPr="00DB48B1" w:rsidRDefault="00DB48B1" w:rsidP="007215D2">
      <w:pPr>
        <w:numPr>
          <w:ilvl w:val="4"/>
          <w:numId w:val="2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Glucocorticoid daily dose equivalent to 5 mg or greater of prednisone</w:t>
      </w:r>
    </w:p>
    <w:p w14:paraId="2C1692E8" w14:textId="47EC1189" w:rsidR="00DB48B1" w:rsidRPr="00DB48B1" w:rsidRDefault="00DB48B1" w:rsidP="007215D2">
      <w:pPr>
        <w:numPr>
          <w:ilvl w:val="4"/>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Risk factors for fracture,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5" w:name="cl_c_121"/>
      <w:bookmarkEnd w:id="5"/>
      <w:r w:rsidRPr="00DB48B1">
        <w:rPr>
          <w:rFonts w:ascii="Futura" w:eastAsia="Calibri" w:hAnsi="Futura" w:cs="Calibri"/>
          <w:color w:val="000000"/>
          <w:sz w:val="20"/>
          <w:szCs w:val="20"/>
          <w:lang w:bidi="en-US"/>
        </w:rPr>
        <w:t>:</w:t>
      </w:r>
    </w:p>
    <w:p w14:paraId="790EAB1D"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Alcohol intake of 3 or more drinks per day</w:t>
      </w:r>
    </w:p>
    <w:p w14:paraId="42C779C3" w14:textId="4A7CD26F"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BMI less than 20 </w:t>
      </w:r>
    </w:p>
    <w:p w14:paraId="7996FBFD"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Current cigarette use</w:t>
      </w:r>
    </w:p>
    <w:p w14:paraId="304E040F" w14:textId="25C3505D"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xml:space="preserve">Glucocorticoid use of 3 </w:t>
      </w:r>
      <w:r w:rsidR="007215D2" w:rsidRPr="00DB48B1">
        <w:rPr>
          <w:rFonts w:ascii="Futura" w:eastAsia="Calibri" w:hAnsi="Futura" w:cs="Calibri"/>
          <w:color w:val="000000"/>
          <w:sz w:val="20"/>
          <w:szCs w:val="20"/>
          <w:lang w:bidi="en-US"/>
        </w:rPr>
        <w:t>months</w:t>
      </w:r>
      <w:r w:rsidRPr="00DB48B1">
        <w:rPr>
          <w:rFonts w:ascii="Futura" w:eastAsia="Calibri" w:hAnsi="Futura" w:cs="Calibri"/>
          <w:color w:val="000000"/>
          <w:sz w:val="20"/>
          <w:szCs w:val="20"/>
          <w:lang w:bidi="en-US"/>
        </w:rPr>
        <w:t xml:space="preserve"> or greater duration</w:t>
      </w:r>
    </w:p>
    <w:p w14:paraId="3BFE83B3"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Multiple falls in previous 1 year</w:t>
      </w:r>
    </w:p>
    <w:p w14:paraId="2E0F321C"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Parental hip fracture</w:t>
      </w:r>
    </w:p>
    <w:p w14:paraId="18022BF9"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Personal history of fragility or osteoporotic fracture</w:t>
      </w:r>
    </w:p>
    <w:p w14:paraId="265DB418" w14:textId="77777777" w:rsidR="00DB48B1" w:rsidRPr="00DB48B1" w:rsidRDefault="00DB48B1" w:rsidP="007215D2">
      <w:pPr>
        <w:numPr>
          <w:ilvl w:val="5"/>
          <w:numId w:val="2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Rheumatoid arthritis (confirmed diagnosis)</w:t>
      </w:r>
    </w:p>
    <w:p w14:paraId="73D2BEE1" w14:textId="5768EFE6" w:rsidR="00DB48B1" w:rsidRPr="00DB48B1" w:rsidRDefault="007215D2" w:rsidP="007215D2">
      <w:pPr>
        <w:numPr>
          <w:ilvl w:val="4"/>
          <w:numId w:val="2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Patients</w:t>
      </w:r>
      <w:r w:rsidR="00DB48B1" w:rsidRPr="00DB48B1">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DB48B1" w:rsidRPr="00DB48B1">
        <w:rPr>
          <w:rFonts w:ascii="Futura" w:eastAsia="Calibri" w:hAnsi="Futura" w:cs="Calibri"/>
          <w:color w:val="000000"/>
          <w:sz w:val="20"/>
          <w:szCs w:val="20"/>
          <w:lang w:bidi="en-US"/>
        </w:rPr>
        <w:t>not pregnant</w:t>
      </w:r>
    </w:p>
    <w:p w14:paraId="76F1A67C" w14:textId="77777777" w:rsidR="00DB48B1" w:rsidRPr="00DB48B1" w:rsidRDefault="00DB48B1" w:rsidP="007215D2">
      <w:pPr>
        <w:numPr>
          <w:ilvl w:val="4"/>
          <w:numId w:val="2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Prescribed medication is zoledronic acid.</w:t>
      </w:r>
    </w:p>
    <w:p w14:paraId="2F8CE0DA"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4A9AE423" w14:textId="5466698E"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Paget disease, as indicated by </w:t>
      </w:r>
      <w:r w:rsidR="007215D2"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32EDD7F"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18 years or older</w:t>
      </w:r>
    </w:p>
    <w:p w14:paraId="27F40F41" w14:textId="6D8A9874"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Moderate to severe Paget disease of bone,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6" w:name="cl_c_140"/>
      <w:bookmarkEnd w:id="6"/>
      <w:r w:rsidRPr="00DB48B1">
        <w:rPr>
          <w:rFonts w:ascii="Futura" w:eastAsia="Calibri" w:hAnsi="Futura" w:cs="Calibri"/>
          <w:color w:val="000000"/>
          <w:sz w:val="20"/>
          <w:szCs w:val="20"/>
          <w:lang w:bidi="en-US"/>
        </w:rPr>
        <w:t>:</w:t>
      </w:r>
    </w:p>
    <w:p w14:paraId="58F9FA57" w14:textId="77777777" w:rsidR="00DB48B1" w:rsidRPr="00DB48B1" w:rsidRDefault="00DB48B1" w:rsidP="007215D2">
      <w:pPr>
        <w:numPr>
          <w:ilvl w:val="3"/>
          <w:numId w:val="2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lastRenderedPageBreak/>
        <w:t>Asymptomatic, but likely progression in high-risk areas,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0905D19F" w14:textId="77777777" w:rsidR="00DB48B1" w:rsidRPr="00DB48B1" w:rsidRDefault="00DB48B1" w:rsidP="007215D2">
      <w:pPr>
        <w:numPr>
          <w:ilvl w:val="4"/>
          <w:numId w:val="2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Potential compression would cause neurologic syndrome.</w:t>
      </w:r>
    </w:p>
    <w:p w14:paraId="3F477776" w14:textId="77777777" w:rsidR="00DB48B1" w:rsidRPr="00DB48B1" w:rsidRDefault="00DB48B1" w:rsidP="007215D2">
      <w:pPr>
        <w:numPr>
          <w:ilvl w:val="4"/>
          <w:numId w:val="2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Potential fracture in weight-bearing long bone</w:t>
      </w:r>
    </w:p>
    <w:p w14:paraId="33BEB446" w14:textId="7A7D0360" w:rsidR="00DB48B1" w:rsidRPr="00DB48B1" w:rsidRDefault="00DB48B1" w:rsidP="007215D2">
      <w:pPr>
        <w:numPr>
          <w:ilvl w:val="3"/>
          <w:numId w:val="2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Elective surgery planned for pagetic site (</w:t>
      </w:r>
      <w:r w:rsidR="007215D2" w:rsidRPr="00DB48B1">
        <w:rPr>
          <w:rFonts w:ascii="Futura" w:eastAsia="Calibri" w:hAnsi="Futura" w:cs="Calibri"/>
          <w:color w:val="000000"/>
          <w:sz w:val="20"/>
          <w:szCs w:val="20"/>
          <w:lang w:bidi="en-US"/>
        </w:rPr>
        <w:t>e.g.</w:t>
      </w:r>
      <w:r w:rsidRPr="00DB48B1">
        <w:rPr>
          <w:rFonts w:ascii="Futura" w:eastAsia="Calibri" w:hAnsi="Futura" w:cs="Calibri"/>
          <w:color w:val="000000"/>
          <w:sz w:val="20"/>
          <w:szCs w:val="20"/>
          <w:lang w:bidi="en-US"/>
        </w:rPr>
        <w:t>, hip replacement)</w:t>
      </w:r>
    </w:p>
    <w:p w14:paraId="3616A311" w14:textId="77777777" w:rsidR="00DB48B1" w:rsidRPr="00DB48B1" w:rsidRDefault="00DB48B1" w:rsidP="007215D2">
      <w:pPr>
        <w:numPr>
          <w:ilvl w:val="3"/>
          <w:numId w:val="2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Hypercalcemia from immobilization</w:t>
      </w:r>
    </w:p>
    <w:p w14:paraId="1D7AA183" w14:textId="77777777" w:rsidR="00DB48B1" w:rsidRPr="00DB48B1" w:rsidRDefault="00DB48B1" w:rsidP="007215D2">
      <w:pPr>
        <w:numPr>
          <w:ilvl w:val="3"/>
          <w:numId w:val="2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Serum alkaline phosphatase elevated to 2 or more times upper limit of normal age-specific reference range</w:t>
      </w:r>
    </w:p>
    <w:p w14:paraId="0492EC5F" w14:textId="77777777" w:rsidR="00DB48B1" w:rsidRPr="00DB48B1" w:rsidRDefault="00DB48B1" w:rsidP="007215D2">
      <w:pPr>
        <w:numPr>
          <w:ilvl w:val="3"/>
          <w:numId w:val="3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Symptoms from active bone lesions, including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13829A75" w14:textId="77777777" w:rsidR="00DB48B1" w:rsidRPr="00DB48B1" w:rsidRDefault="00DB48B1" w:rsidP="007215D2">
      <w:pPr>
        <w:numPr>
          <w:ilvl w:val="4"/>
          <w:numId w:val="3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Back pain due to pagetic radiculopathy or arthropathy</w:t>
      </w:r>
    </w:p>
    <w:p w14:paraId="146C38D9" w14:textId="77777777" w:rsidR="00DB48B1" w:rsidRPr="00DB48B1" w:rsidRDefault="00DB48B1" w:rsidP="007215D2">
      <w:pPr>
        <w:numPr>
          <w:ilvl w:val="4"/>
          <w:numId w:val="3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Bone pain</w:t>
      </w:r>
    </w:p>
    <w:p w14:paraId="16CD951B" w14:textId="77777777" w:rsidR="00DB48B1" w:rsidRPr="00DB48B1" w:rsidRDefault="00DB48B1" w:rsidP="007215D2">
      <w:pPr>
        <w:numPr>
          <w:ilvl w:val="4"/>
          <w:numId w:val="3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Fissure fractures</w:t>
      </w:r>
    </w:p>
    <w:p w14:paraId="67DDF018" w14:textId="77777777" w:rsidR="00DB48B1" w:rsidRPr="00DB48B1" w:rsidRDefault="00DB48B1" w:rsidP="007215D2">
      <w:pPr>
        <w:numPr>
          <w:ilvl w:val="4"/>
          <w:numId w:val="3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Headache with skull involvement</w:t>
      </w:r>
    </w:p>
    <w:p w14:paraId="4850A6E7" w14:textId="77777777" w:rsidR="00DB48B1" w:rsidRPr="00DB48B1" w:rsidRDefault="00DB48B1" w:rsidP="007215D2">
      <w:pPr>
        <w:numPr>
          <w:ilvl w:val="4"/>
          <w:numId w:val="3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Other neurologic syndromes</w:t>
      </w:r>
    </w:p>
    <w:p w14:paraId="591FD21E"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34CCBFD0" w14:textId="0EB7C954"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w:t>
      </w:r>
      <w:r w:rsidR="007215D2">
        <w:rPr>
          <w:rFonts w:ascii="Futura" w:eastAsia="Calibri" w:hAnsi="Futura" w:cs="Calibri"/>
          <w:color w:val="000000"/>
          <w:sz w:val="20"/>
          <w:szCs w:val="20"/>
          <w:lang w:bidi="en-US"/>
        </w:rPr>
        <w:t>s a</w:t>
      </w:r>
      <w:r w:rsidR="009B7E38">
        <w:rPr>
          <w:rFonts w:ascii="Futura" w:eastAsia="Calibri" w:hAnsi="Futura" w:cs="Calibri"/>
          <w:color w:val="000000"/>
          <w:sz w:val="20"/>
          <w:szCs w:val="20"/>
          <w:lang w:bidi="en-US"/>
        </w:rPr>
        <w:t>re</w:t>
      </w:r>
      <w:r w:rsidRPr="00DB48B1">
        <w:rPr>
          <w:rFonts w:ascii="Futura" w:eastAsia="Calibri" w:hAnsi="Futura" w:cs="Calibri"/>
          <w:color w:val="000000"/>
          <w:sz w:val="20"/>
          <w:szCs w:val="20"/>
          <w:lang w:bidi="en-US"/>
        </w:rPr>
        <w:t xml:space="preserve"> not pregnant</w:t>
      </w:r>
    </w:p>
    <w:p w14:paraId="2DE74C28" w14:textId="18F2ECDA"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Prevention of osteoporosis,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1D6159D9" w14:textId="501C3093"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Postmenopausal female with breast cancer on aromatase inhibitor and </w:t>
      </w:r>
      <w:r w:rsidR="009B7E38"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AC09FF7" w14:textId="77777777" w:rsidR="00DB48B1" w:rsidRPr="00DB48B1" w:rsidRDefault="00DB48B1" w:rsidP="007215D2">
      <w:pPr>
        <w:numPr>
          <w:ilvl w:val="3"/>
          <w:numId w:val="3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0AC5A12C" w14:textId="77777777" w:rsidR="00DB48B1" w:rsidRPr="00DB48B1" w:rsidRDefault="00DB48B1" w:rsidP="007215D2">
      <w:pPr>
        <w:numPr>
          <w:ilvl w:val="3"/>
          <w:numId w:val="3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Risk for osteoporosis,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53A6B231" w14:textId="77777777" w:rsidR="009B7E38" w:rsidRDefault="00DB48B1" w:rsidP="00B51A37">
      <w:pPr>
        <w:numPr>
          <w:ilvl w:val="4"/>
          <w:numId w:val="3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Bone mineral density T-score less than -2.0</w:t>
      </w:r>
      <w:bookmarkStart w:id="7" w:name="cl_c_166"/>
      <w:bookmarkEnd w:id="7"/>
    </w:p>
    <w:p w14:paraId="4BACB8A2" w14:textId="3D0ED8F1" w:rsidR="00DB48B1" w:rsidRPr="00DB48B1" w:rsidRDefault="00DB48B1" w:rsidP="00B51A37">
      <w:pPr>
        <w:numPr>
          <w:ilvl w:val="4"/>
          <w:numId w:val="3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Current nontraumatic fracture</w:t>
      </w:r>
      <w:bookmarkStart w:id="8" w:name="cl_c_168"/>
      <w:bookmarkEnd w:id="8"/>
    </w:p>
    <w:p w14:paraId="3C33F013" w14:textId="77777777" w:rsidR="00DB48B1" w:rsidRPr="00DB48B1" w:rsidRDefault="00DB48B1" w:rsidP="007215D2">
      <w:pPr>
        <w:numPr>
          <w:ilvl w:val="4"/>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Risk factors for fracture, as indicated by </w:t>
      </w:r>
      <w:r w:rsidRPr="00DB48B1">
        <w:rPr>
          <w:rFonts w:ascii="Futura" w:eastAsia="Calibri" w:hAnsi="Futura" w:cs="Calibri"/>
          <w:b/>
          <w:bCs/>
          <w:color w:val="000000"/>
          <w:sz w:val="20"/>
          <w:szCs w:val="20"/>
          <w:lang w:bidi="en-US"/>
        </w:rPr>
        <w:t>2 or more</w:t>
      </w:r>
      <w:r w:rsidRPr="00DB48B1">
        <w:rPr>
          <w:rFonts w:ascii="Futura" w:eastAsia="Calibri" w:hAnsi="Futura" w:cs="Calibri"/>
          <w:color w:val="000000"/>
          <w:sz w:val="20"/>
          <w:szCs w:val="20"/>
          <w:lang w:bidi="en-US"/>
        </w:rPr>
        <w:t> of the following:</w:t>
      </w:r>
    </w:p>
    <w:p w14:paraId="2F8DDED9"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older than 65 years</w:t>
      </w:r>
    </w:p>
    <w:p w14:paraId="70AAEB6B"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Alcohol intake of 3 or more drinks per day</w:t>
      </w:r>
    </w:p>
    <w:p w14:paraId="681657BD" w14:textId="64805E94"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BMI less than 20 </w:t>
      </w:r>
    </w:p>
    <w:p w14:paraId="3C30CED8"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Bone mineral density T-score less than -1.5</w:t>
      </w:r>
    </w:p>
    <w:p w14:paraId="377BFE80"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Current cigarette use</w:t>
      </w:r>
    </w:p>
    <w:p w14:paraId="2ADF39A9" w14:textId="4F60F771"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xml:space="preserve">Glucocorticosteroid use of 3 </w:t>
      </w:r>
      <w:r w:rsidR="00F8288E" w:rsidRPr="00DB48B1">
        <w:rPr>
          <w:rFonts w:ascii="Futura" w:eastAsia="Calibri" w:hAnsi="Futura" w:cs="Calibri"/>
          <w:color w:val="000000"/>
          <w:sz w:val="20"/>
          <w:szCs w:val="20"/>
          <w:lang w:bidi="en-US"/>
        </w:rPr>
        <w:t>months</w:t>
      </w:r>
      <w:r w:rsidRPr="00DB48B1">
        <w:rPr>
          <w:rFonts w:ascii="Futura" w:eastAsia="Calibri" w:hAnsi="Futura" w:cs="Calibri"/>
          <w:color w:val="000000"/>
          <w:sz w:val="20"/>
          <w:szCs w:val="20"/>
          <w:lang w:bidi="en-US"/>
        </w:rPr>
        <w:t xml:space="preserve"> or greater duration</w:t>
      </w:r>
      <w:bookmarkStart w:id="9" w:name="cl_c_170"/>
      <w:bookmarkEnd w:id="9"/>
    </w:p>
    <w:p w14:paraId="50B3D4F8"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Parental hip fracture</w:t>
      </w:r>
    </w:p>
    <w:p w14:paraId="1DFE205D"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Personal history of fragility fracture or osteoporotic fracture</w:t>
      </w:r>
    </w:p>
    <w:p w14:paraId="392C4356" w14:textId="77777777" w:rsidR="00DB48B1" w:rsidRPr="00DB48B1" w:rsidRDefault="00DB48B1" w:rsidP="007215D2">
      <w:pPr>
        <w:numPr>
          <w:ilvl w:val="5"/>
          <w:numId w:val="4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Rheumatoid arthritis (confirmed diagnosis)</w:t>
      </w:r>
    </w:p>
    <w:p w14:paraId="722012E1" w14:textId="158C183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Male with prostate cancer and </w:t>
      </w:r>
      <w:r w:rsidR="00F8288E"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bookmarkStart w:id="10" w:name="cl_c_171"/>
      <w:bookmarkEnd w:id="10"/>
      <w:r w:rsidRPr="00DB48B1">
        <w:rPr>
          <w:rFonts w:ascii="Futura" w:eastAsia="Calibri" w:hAnsi="Futura" w:cs="Calibri"/>
          <w:color w:val="000000"/>
          <w:sz w:val="20"/>
          <w:szCs w:val="20"/>
          <w:lang w:bidi="en-US"/>
        </w:rPr>
        <w:t>:</w:t>
      </w:r>
    </w:p>
    <w:p w14:paraId="53813D5E" w14:textId="7114F87D" w:rsidR="00DB48B1" w:rsidRPr="00DB48B1" w:rsidRDefault="00DB48B1" w:rsidP="007215D2">
      <w:pPr>
        <w:numPr>
          <w:ilvl w:val="3"/>
          <w:numId w:val="4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50 years or older</w:t>
      </w:r>
      <w:bookmarkStart w:id="11" w:name="cl_c_176"/>
      <w:bookmarkEnd w:id="11"/>
    </w:p>
    <w:p w14:paraId="201C3443" w14:textId="77777777" w:rsidR="00DB48B1" w:rsidRPr="00DB48B1" w:rsidRDefault="00DB48B1" w:rsidP="007215D2">
      <w:pPr>
        <w:numPr>
          <w:ilvl w:val="3"/>
          <w:numId w:val="4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Bone mineral density T-score between -1.0 and -2.5</w:t>
      </w:r>
    </w:p>
    <w:p w14:paraId="750DC481" w14:textId="77777777" w:rsidR="00DB48B1" w:rsidRPr="00DB48B1" w:rsidRDefault="00DB48B1" w:rsidP="007215D2">
      <w:pPr>
        <w:numPr>
          <w:ilvl w:val="3"/>
          <w:numId w:val="4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2C3884B9" w14:textId="2883C98A" w:rsidR="00DB48B1" w:rsidRPr="00DB48B1" w:rsidRDefault="009B7E38" w:rsidP="007215D2">
      <w:pPr>
        <w:numPr>
          <w:ilvl w:val="3"/>
          <w:numId w:val="4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Patients</w:t>
      </w:r>
      <w:r w:rsidR="00DB48B1" w:rsidRPr="00DB48B1">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DB48B1" w:rsidRPr="00DB48B1">
        <w:rPr>
          <w:rFonts w:ascii="Futura" w:eastAsia="Calibri" w:hAnsi="Futura" w:cs="Calibri"/>
          <w:color w:val="000000"/>
          <w:sz w:val="20"/>
          <w:szCs w:val="20"/>
          <w:lang w:bidi="en-US"/>
        </w:rPr>
        <w:t>receiving androgen deprivation therap</w:t>
      </w:r>
      <w:bookmarkStart w:id="12" w:name="cl_c_177"/>
      <w:bookmarkEnd w:id="12"/>
      <w:r>
        <w:rPr>
          <w:rFonts w:ascii="Futura" w:eastAsia="Calibri" w:hAnsi="Futura" w:cs="Calibri"/>
          <w:color w:val="000000"/>
          <w:sz w:val="20"/>
          <w:szCs w:val="20"/>
          <w:lang w:bidi="en-US"/>
        </w:rPr>
        <w:t>y</w:t>
      </w:r>
    </w:p>
    <w:p w14:paraId="0F486A6D" w14:textId="5F870DD9" w:rsidR="00DB48B1" w:rsidRPr="00DB48B1" w:rsidRDefault="00DB48B1" w:rsidP="007215D2">
      <w:pPr>
        <w:numPr>
          <w:ilvl w:val="3"/>
          <w:numId w:val="4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Risk factors for fracture,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13" w:name="cl_c_178"/>
      <w:bookmarkEnd w:id="13"/>
      <w:r w:rsidRPr="00DB48B1">
        <w:rPr>
          <w:rFonts w:ascii="Futura" w:eastAsia="Calibri" w:hAnsi="Futura" w:cs="Calibri"/>
          <w:color w:val="000000"/>
          <w:sz w:val="20"/>
          <w:szCs w:val="20"/>
          <w:lang w:bidi="en-US"/>
        </w:rPr>
        <w:t>:</w:t>
      </w:r>
    </w:p>
    <w:p w14:paraId="68279A6E" w14:textId="77777777" w:rsidR="00DB48B1" w:rsidRPr="00DB48B1" w:rsidRDefault="00DB48B1" w:rsidP="007215D2">
      <w:pPr>
        <w:numPr>
          <w:ilvl w:val="4"/>
          <w:numId w:val="4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Alcohol intake of 3 or more drinks per day</w:t>
      </w:r>
    </w:p>
    <w:p w14:paraId="0B5E6B05" w14:textId="77777777" w:rsidR="009B7E38" w:rsidRDefault="00DB48B1" w:rsidP="00DF7823">
      <w:pPr>
        <w:numPr>
          <w:ilvl w:val="4"/>
          <w:numId w:val="4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BMI less than 20 </w:t>
      </w:r>
    </w:p>
    <w:p w14:paraId="3F1D9161" w14:textId="029AE561" w:rsidR="00DB48B1" w:rsidRPr="00DB48B1" w:rsidRDefault="00DB48B1" w:rsidP="00DF7823">
      <w:pPr>
        <w:numPr>
          <w:ilvl w:val="4"/>
          <w:numId w:val="4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Current cigarette use</w:t>
      </w:r>
    </w:p>
    <w:p w14:paraId="6C5F0489" w14:textId="669AFF7C" w:rsidR="00DB48B1" w:rsidRPr="00DB48B1" w:rsidRDefault="00DB48B1" w:rsidP="007215D2">
      <w:pPr>
        <w:numPr>
          <w:ilvl w:val="4"/>
          <w:numId w:val="4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xml:space="preserve">Glucocorticoid use of 3 </w:t>
      </w:r>
      <w:r w:rsidR="009B7E38" w:rsidRPr="00DB48B1">
        <w:rPr>
          <w:rFonts w:ascii="Futura" w:eastAsia="Calibri" w:hAnsi="Futura" w:cs="Calibri"/>
          <w:color w:val="000000"/>
          <w:sz w:val="20"/>
          <w:szCs w:val="20"/>
          <w:lang w:bidi="en-US"/>
        </w:rPr>
        <w:t>months</w:t>
      </w:r>
      <w:r w:rsidRPr="00DB48B1">
        <w:rPr>
          <w:rFonts w:ascii="Futura" w:eastAsia="Calibri" w:hAnsi="Futura" w:cs="Calibri"/>
          <w:color w:val="000000"/>
          <w:sz w:val="20"/>
          <w:szCs w:val="20"/>
          <w:lang w:bidi="en-US"/>
        </w:rPr>
        <w:t xml:space="preserve"> or greater duration</w:t>
      </w:r>
    </w:p>
    <w:p w14:paraId="143DF4DB" w14:textId="77777777" w:rsidR="00DB48B1" w:rsidRPr="00DB48B1" w:rsidRDefault="00DB48B1" w:rsidP="007215D2">
      <w:pPr>
        <w:numPr>
          <w:ilvl w:val="4"/>
          <w:numId w:val="4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Multiple falls in previous 1 year</w:t>
      </w:r>
    </w:p>
    <w:p w14:paraId="27E73D6B" w14:textId="77777777" w:rsidR="00DB48B1" w:rsidRPr="00DB48B1" w:rsidRDefault="00DB48B1" w:rsidP="007215D2">
      <w:pPr>
        <w:numPr>
          <w:ilvl w:val="4"/>
          <w:numId w:val="5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Parental hip fracture</w:t>
      </w:r>
    </w:p>
    <w:p w14:paraId="6D2BECC3" w14:textId="77777777" w:rsidR="00DB48B1" w:rsidRPr="00DB48B1" w:rsidRDefault="00DB48B1" w:rsidP="007215D2">
      <w:pPr>
        <w:numPr>
          <w:ilvl w:val="4"/>
          <w:numId w:val="5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Personal history of fragility or osteoporotic fracture</w:t>
      </w:r>
    </w:p>
    <w:p w14:paraId="4926EC33" w14:textId="77777777" w:rsidR="00DB48B1" w:rsidRPr="00DB48B1" w:rsidRDefault="00DB48B1" w:rsidP="007215D2">
      <w:pPr>
        <w:numPr>
          <w:ilvl w:val="4"/>
          <w:numId w:val="5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Rheumatoid arthritis (confirmed diagnosis)</w:t>
      </w:r>
    </w:p>
    <w:p w14:paraId="75404800" w14:textId="121ABF4F"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Male or female at risk of glucocorticoid-induced osteoporosis, as indicated by </w:t>
      </w:r>
      <w:r w:rsidR="009B7E38"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E172249" w14:textId="77777777" w:rsidR="00DB48B1" w:rsidRPr="00DB48B1" w:rsidRDefault="00DB48B1" w:rsidP="007215D2">
      <w:pPr>
        <w:numPr>
          <w:ilvl w:val="3"/>
          <w:numId w:val="5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18 years or older</w:t>
      </w:r>
    </w:p>
    <w:p w14:paraId="188B0EC8" w14:textId="2729F6D8" w:rsidR="00DB48B1" w:rsidRPr="00DB48B1" w:rsidRDefault="00DB48B1" w:rsidP="007215D2">
      <w:pPr>
        <w:numPr>
          <w:ilvl w:val="3"/>
          <w:numId w:val="5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lastRenderedPageBreak/>
        <w:t>Moderate to high risk of fracture,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14" w:name="cl_c_188"/>
      <w:bookmarkEnd w:id="14"/>
      <w:r w:rsidRPr="00DB48B1">
        <w:rPr>
          <w:rFonts w:ascii="Futura" w:eastAsia="Calibri" w:hAnsi="Futura" w:cs="Calibri"/>
          <w:color w:val="000000"/>
          <w:sz w:val="20"/>
          <w:szCs w:val="20"/>
          <w:lang w:bidi="en-US"/>
        </w:rPr>
        <w:t>:</w:t>
      </w:r>
    </w:p>
    <w:p w14:paraId="29C2D457" w14:textId="70E85A19" w:rsidR="00DB48B1" w:rsidRPr="00DB48B1" w:rsidRDefault="00DB48B1" w:rsidP="007215D2">
      <w:pPr>
        <w:numPr>
          <w:ilvl w:val="4"/>
          <w:numId w:val="5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40 years or older and </w:t>
      </w:r>
      <w:r w:rsidR="009B7E38"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3258E499" w14:textId="77777777" w:rsidR="00DB48B1" w:rsidRPr="00DB48B1" w:rsidRDefault="00DB48B1" w:rsidP="007215D2">
      <w:pPr>
        <w:numPr>
          <w:ilvl w:val="5"/>
          <w:numId w:val="5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Duration of glucocorticoid therapy expected to be 3 months or longer</w:t>
      </w:r>
    </w:p>
    <w:p w14:paraId="17469701" w14:textId="77777777" w:rsidR="00DB48B1" w:rsidRPr="00DB48B1" w:rsidRDefault="00DB48B1" w:rsidP="007215D2">
      <w:pPr>
        <w:numPr>
          <w:ilvl w:val="5"/>
          <w:numId w:val="5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Glucocorticoid daily dose equivalent to 2.5 mg or greater of prednisone</w:t>
      </w:r>
    </w:p>
    <w:p w14:paraId="0A1BB78A" w14:textId="77777777" w:rsidR="00DB48B1" w:rsidRPr="00DB48B1" w:rsidRDefault="00DB48B1" w:rsidP="007215D2">
      <w:pPr>
        <w:numPr>
          <w:ilvl w:val="5"/>
          <w:numId w:val="5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645CE91F" w14:textId="1CD56FA3" w:rsidR="00DB48B1" w:rsidRPr="00DB48B1" w:rsidRDefault="00DB48B1" w:rsidP="007215D2">
      <w:pPr>
        <w:numPr>
          <w:ilvl w:val="6"/>
          <w:numId w:val="5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 10-year probability for major osteoporotic fracture 10% or greater</w:t>
      </w:r>
    </w:p>
    <w:p w14:paraId="5B6828BF" w14:textId="249C8904" w:rsidR="00DB48B1" w:rsidRPr="00DB48B1" w:rsidRDefault="00DB48B1" w:rsidP="007215D2">
      <w:pPr>
        <w:numPr>
          <w:ilvl w:val="6"/>
          <w:numId w:val="57"/>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Fracture Risk Assessment Tool (FRAX®) 10-year probability of hip fracture greater than country-specific threshold (</w:t>
      </w:r>
      <w:r w:rsidR="009B7E38" w:rsidRPr="00DB48B1">
        <w:rPr>
          <w:rFonts w:ascii="Futura" w:eastAsia="Calibri" w:hAnsi="Futura" w:cs="Calibri"/>
          <w:color w:val="000000"/>
          <w:sz w:val="20"/>
          <w:szCs w:val="20"/>
          <w:lang w:bidi="en-US"/>
        </w:rPr>
        <w:t>e.g.</w:t>
      </w:r>
      <w:r w:rsidRPr="00DB48B1">
        <w:rPr>
          <w:rFonts w:ascii="Futura" w:eastAsia="Calibri" w:hAnsi="Futura" w:cs="Calibri"/>
          <w:color w:val="000000"/>
          <w:sz w:val="20"/>
          <w:szCs w:val="20"/>
          <w:lang w:bidi="en-US"/>
        </w:rPr>
        <w:t>, 1% or greater in United States)</w:t>
      </w:r>
    </w:p>
    <w:p w14:paraId="45F00319" w14:textId="5673259F" w:rsidR="00DB48B1" w:rsidRPr="00DB48B1" w:rsidRDefault="00DB48B1" w:rsidP="007215D2">
      <w:pPr>
        <w:numPr>
          <w:ilvl w:val="4"/>
          <w:numId w:val="5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younger than 40 years and </w:t>
      </w:r>
      <w:r w:rsidR="00F8288E"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p>
    <w:p w14:paraId="23B3BC83" w14:textId="77777777" w:rsidR="00DB48B1" w:rsidRPr="00DB48B1" w:rsidRDefault="00DB48B1" w:rsidP="007215D2">
      <w:pPr>
        <w:numPr>
          <w:ilvl w:val="5"/>
          <w:numId w:val="5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Duration of glucocorticoid therapy expected to be 6 months or longer</w:t>
      </w:r>
    </w:p>
    <w:p w14:paraId="4153ACAE" w14:textId="77777777" w:rsidR="00DB48B1" w:rsidRPr="00DB48B1" w:rsidRDefault="00DB48B1" w:rsidP="007215D2">
      <w:pPr>
        <w:numPr>
          <w:ilvl w:val="5"/>
          <w:numId w:val="5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Glucocorticoid daily dose equivalent to 7.5 mg or greater of prednisone</w:t>
      </w:r>
    </w:p>
    <w:p w14:paraId="421466CD" w14:textId="77777777" w:rsidR="00DB48B1" w:rsidRPr="00DB48B1" w:rsidRDefault="00DB48B1" w:rsidP="007215D2">
      <w:pPr>
        <w:numPr>
          <w:ilvl w:val="5"/>
          <w:numId w:val="58"/>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Bone mineral density testing, as indicated by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p>
    <w:p w14:paraId="23B8AD47" w14:textId="1AE6EB03" w:rsidR="00DB48B1" w:rsidRPr="00DB48B1" w:rsidRDefault="00DB48B1" w:rsidP="007215D2">
      <w:pPr>
        <w:numPr>
          <w:ilvl w:val="6"/>
          <w:numId w:val="59"/>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Rapid bone loss (</w:t>
      </w:r>
      <w:r w:rsidR="00F8288E" w:rsidRPr="00DB48B1">
        <w:rPr>
          <w:rFonts w:ascii="Futura" w:eastAsia="Calibri" w:hAnsi="Futura" w:cs="Calibri"/>
          <w:color w:val="000000"/>
          <w:sz w:val="20"/>
          <w:szCs w:val="20"/>
          <w:lang w:bidi="en-US"/>
        </w:rPr>
        <w:t>i.e.</w:t>
      </w:r>
      <w:r w:rsidRPr="00DB48B1">
        <w:rPr>
          <w:rFonts w:ascii="Futura" w:eastAsia="Calibri" w:hAnsi="Futura" w:cs="Calibri"/>
          <w:color w:val="000000"/>
          <w:sz w:val="20"/>
          <w:szCs w:val="20"/>
          <w:lang w:bidi="en-US"/>
        </w:rPr>
        <w:t>, 10% or greater decrease in spine or hip bone mineral density in 1 year)</w:t>
      </w:r>
    </w:p>
    <w:p w14:paraId="7EDC385C" w14:textId="77777777" w:rsidR="00DB48B1" w:rsidRPr="00DB48B1" w:rsidRDefault="00DB48B1" w:rsidP="007215D2">
      <w:pPr>
        <w:numPr>
          <w:ilvl w:val="6"/>
          <w:numId w:val="60"/>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Spine or total hip bone mineral density z score -3.0 or less</w:t>
      </w:r>
    </w:p>
    <w:p w14:paraId="616B0AC5" w14:textId="4DAA4993" w:rsidR="00DB48B1" w:rsidRPr="00DB48B1" w:rsidRDefault="00F8288E" w:rsidP="007215D2">
      <w:pPr>
        <w:numPr>
          <w:ilvl w:val="3"/>
          <w:numId w:val="61"/>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Patients</w:t>
      </w:r>
      <w:r w:rsidR="00DB48B1" w:rsidRPr="00DB48B1">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DB48B1" w:rsidRPr="00DB48B1">
        <w:rPr>
          <w:rFonts w:ascii="Futura" w:eastAsia="Calibri" w:hAnsi="Futura" w:cs="Calibri"/>
          <w:color w:val="000000"/>
          <w:sz w:val="20"/>
          <w:szCs w:val="20"/>
          <w:lang w:bidi="en-US"/>
        </w:rPr>
        <w:t>not pregnant</w:t>
      </w:r>
    </w:p>
    <w:p w14:paraId="62891064" w14:textId="77777777" w:rsidR="00DB48B1" w:rsidRPr="00DB48B1" w:rsidRDefault="00DB48B1" w:rsidP="007215D2">
      <w:pPr>
        <w:numPr>
          <w:ilvl w:val="3"/>
          <w:numId w:val="62"/>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Prescribed medication is zoledronic acid.</w:t>
      </w:r>
    </w:p>
    <w:p w14:paraId="3F46AA97" w14:textId="44ED76BA" w:rsidR="00DB48B1" w:rsidRPr="00DB48B1" w:rsidRDefault="00DB48B1" w:rsidP="007215D2">
      <w:pPr>
        <w:numPr>
          <w:ilvl w:val="1"/>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 Skeletal metastases from cancer, as indicated by </w:t>
      </w:r>
      <w:r w:rsidR="00AC3734" w:rsidRPr="00DB48B1">
        <w:rPr>
          <w:rFonts w:ascii="Futura" w:eastAsia="Calibri" w:hAnsi="Futura" w:cs="Calibri"/>
          <w:b/>
          <w:bCs/>
          <w:color w:val="000000"/>
          <w:sz w:val="20"/>
          <w:szCs w:val="20"/>
          <w:lang w:bidi="en-US"/>
        </w:rPr>
        <w:t>ALL</w:t>
      </w:r>
      <w:r w:rsidRPr="00DB48B1">
        <w:rPr>
          <w:rFonts w:ascii="Futura" w:eastAsia="Calibri" w:hAnsi="Futura" w:cs="Calibri"/>
          <w:color w:val="000000"/>
          <w:sz w:val="20"/>
          <w:szCs w:val="20"/>
          <w:lang w:bidi="en-US"/>
        </w:rPr>
        <w:t xml:space="preserve"> the following</w:t>
      </w:r>
      <w:bookmarkStart w:id="15" w:name="cl_c_191"/>
      <w:bookmarkEnd w:id="15"/>
      <w:r w:rsidRPr="00DB48B1">
        <w:rPr>
          <w:rFonts w:ascii="Futura" w:eastAsia="Calibri" w:hAnsi="Futura" w:cs="Calibri"/>
          <w:color w:val="000000"/>
          <w:sz w:val="20"/>
          <w:szCs w:val="20"/>
          <w:lang w:bidi="en-US"/>
        </w:rPr>
        <w:t>:</w:t>
      </w:r>
    </w:p>
    <w:p w14:paraId="150B29AA"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Age 18 years or older</w:t>
      </w:r>
    </w:p>
    <w:p w14:paraId="684A2B2F" w14:textId="38B33AB3"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Osteolytic bone lesions or metastases from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16" w:name="cl_c_220"/>
      <w:bookmarkEnd w:id="16"/>
      <w:r w:rsidRPr="00DB48B1">
        <w:rPr>
          <w:rFonts w:ascii="Futura" w:eastAsia="Calibri" w:hAnsi="Futura" w:cs="Calibri"/>
          <w:color w:val="000000"/>
          <w:sz w:val="20"/>
          <w:szCs w:val="20"/>
          <w:lang w:bidi="en-US"/>
        </w:rPr>
        <w:t>:</w:t>
      </w:r>
    </w:p>
    <w:p w14:paraId="00678E68" w14:textId="4EDFA457" w:rsidR="00DB48B1" w:rsidRPr="00DB48B1" w:rsidRDefault="00DB48B1" w:rsidP="007215D2">
      <w:pPr>
        <w:numPr>
          <w:ilvl w:val="3"/>
          <w:numId w:val="63"/>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Breast cancer</w:t>
      </w:r>
    </w:p>
    <w:p w14:paraId="5537D652" w14:textId="77777777" w:rsidR="00F8288E" w:rsidRDefault="00DB48B1" w:rsidP="00221C6C">
      <w:pPr>
        <w:numPr>
          <w:ilvl w:val="3"/>
          <w:numId w:val="6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Multiple myeloma</w:t>
      </w:r>
    </w:p>
    <w:p w14:paraId="5F96CA4B" w14:textId="334B6CC6" w:rsidR="00DB48B1" w:rsidRPr="00DB48B1" w:rsidRDefault="00DB48B1" w:rsidP="00F8288E">
      <w:pPr>
        <w:numPr>
          <w:ilvl w:val="3"/>
          <w:numId w:val="65"/>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For zoledronic acid use only, </w:t>
      </w:r>
      <w:r w:rsidRPr="00DB48B1">
        <w:rPr>
          <w:rFonts w:ascii="Futura" w:eastAsia="Calibri" w:hAnsi="Futura" w:cs="Calibri"/>
          <w:b/>
          <w:bCs/>
          <w:color w:val="000000"/>
          <w:sz w:val="20"/>
          <w:szCs w:val="20"/>
          <w:lang w:bidi="en-US"/>
        </w:rPr>
        <w:t>1 or more</w:t>
      </w:r>
      <w:r w:rsidRPr="00DB48B1">
        <w:rPr>
          <w:rFonts w:ascii="Futura" w:eastAsia="Calibri" w:hAnsi="Futura" w:cs="Calibri"/>
          <w:color w:val="000000"/>
          <w:sz w:val="20"/>
          <w:szCs w:val="20"/>
          <w:lang w:bidi="en-US"/>
        </w:rPr>
        <w:t> of the following</w:t>
      </w:r>
      <w:bookmarkStart w:id="17" w:name="cl_c_237"/>
      <w:bookmarkEnd w:id="17"/>
      <w:r w:rsidRPr="00DB48B1">
        <w:rPr>
          <w:rFonts w:ascii="Futura" w:eastAsia="Calibri" w:hAnsi="Futura" w:cs="Calibri"/>
          <w:color w:val="000000"/>
          <w:sz w:val="20"/>
          <w:szCs w:val="20"/>
          <w:lang w:bidi="en-US"/>
        </w:rPr>
        <w:t>:</w:t>
      </w:r>
    </w:p>
    <w:p w14:paraId="36DB89F2" w14:textId="50B086DC" w:rsidR="00DB48B1" w:rsidRPr="00DB48B1" w:rsidRDefault="00DB48B1" w:rsidP="007215D2">
      <w:pPr>
        <w:numPr>
          <w:ilvl w:val="4"/>
          <w:numId w:val="66"/>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Prostate cancer, if progression occurred after treatment with at least one form of androgen deprivation therapy</w:t>
      </w:r>
      <w:bookmarkStart w:id="18" w:name="cl_c_240"/>
      <w:bookmarkEnd w:id="18"/>
    </w:p>
    <w:p w14:paraId="3CA882A5" w14:textId="6EF9BA55" w:rsidR="00AC3734" w:rsidRDefault="00DB48B1" w:rsidP="000C281F">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Other solid tumors (</w:t>
      </w:r>
      <w:r w:rsidR="00AC3734" w:rsidRPr="00DB48B1">
        <w:rPr>
          <w:rFonts w:ascii="Futura" w:eastAsia="Calibri" w:hAnsi="Futura" w:cs="Calibri"/>
          <w:color w:val="000000"/>
          <w:sz w:val="20"/>
          <w:szCs w:val="20"/>
          <w:lang w:bidi="en-US"/>
        </w:rPr>
        <w:t>e.g.</w:t>
      </w:r>
      <w:r w:rsidRPr="00DB48B1">
        <w:rPr>
          <w:rFonts w:ascii="Futura" w:eastAsia="Calibri" w:hAnsi="Futura" w:cs="Calibri"/>
          <w:color w:val="000000"/>
          <w:sz w:val="20"/>
          <w:szCs w:val="20"/>
          <w:lang w:bidi="en-US"/>
        </w:rPr>
        <w:t>, lung cancer, renal cancer)</w:t>
      </w:r>
      <w:bookmarkStart w:id="19" w:name="cl_c_244"/>
      <w:bookmarkEnd w:id="19"/>
    </w:p>
    <w:p w14:paraId="21D8EE8C" w14:textId="04EABEDB" w:rsidR="00DB48B1" w:rsidRPr="00DB48B1" w:rsidRDefault="00DB48B1" w:rsidP="000C281F">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No uncorrected hypocalcemia at time of administration</w:t>
      </w:r>
    </w:p>
    <w:p w14:paraId="1A4446A8" w14:textId="754FB4C1" w:rsidR="00DB48B1" w:rsidRPr="00DB48B1" w:rsidRDefault="00AC3734"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Patients</w:t>
      </w:r>
      <w:r w:rsidR="00DB48B1" w:rsidRPr="00DB48B1">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DB48B1" w:rsidRPr="00DB48B1">
        <w:rPr>
          <w:rFonts w:ascii="Futura" w:eastAsia="Calibri" w:hAnsi="Futura" w:cs="Calibri"/>
          <w:color w:val="000000"/>
          <w:sz w:val="20"/>
          <w:szCs w:val="20"/>
          <w:lang w:bidi="en-US"/>
        </w:rPr>
        <w:t>not pregnant</w:t>
      </w:r>
    </w:p>
    <w:p w14:paraId="48574DAF" w14:textId="77777777" w:rsidR="00DB48B1" w:rsidRPr="00DB48B1" w:rsidRDefault="00DB48B1" w:rsidP="007215D2">
      <w:pPr>
        <w:numPr>
          <w:ilvl w:val="2"/>
          <w:numId w:val="4"/>
        </w:numPr>
        <w:spacing w:after="0" w:line="240" w:lineRule="auto"/>
        <w:jc w:val="both"/>
        <w:rPr>
          <w:rFonts w:ascii="Futura" w:eastAsia="Calibri" w:hAnsi="Futura" w:cs="Calibri"/>
          <w:color w:val="000000"/>
          <w:sz w:val="20"/>
          <w:szCs w:val="20"/>
          <w:lang w:bidi="en-US"/>
        </w:rPr>
      </w:pPr>
      <w:r w:rsidRPr="00DB48B1">
        <w:rPr>
          <w:rFonts w:ascii="Futura" w:eastAsia="Calibri" w:hAnsi="Futura" w:cs="Calibri"/>
          <w:color w:val="000000"/>
          <w:sz w:val="20"/>
          <w:szCs w:val="20"/>
          <w:lang w:bidi="en-US"/>
        </w:rPr>
        <w:t>Standard antineoplastic therapy continues.</w:t>
      </w:r>
    </w:p>
    <w:p w14:paraId="01C1AF50" w14:textId="77777777" w:rsidR="00450132" w:rsidRDefault="00450132" w:rsidP="00554794">
      <w:pPr>
        <w:spacing w:after="0" w:line="240" w:lineRule="auto"/>
        <w:jc w:val="both"/>
        <w:rPr>
          <w:rFonts w:ascii="Futura" w:eastAsia="Calibri" w:hAnsi="Futura" w:cs="Calibri"/>
          <w:color w:val="000000"/>
          <w:sz w:val="20"/>
          <w:szCs w:val="20"/>
          <w:lang w:bidi="en-US"/>
        </w:rPr>
      </w:pPr>
    </w:p>
    <w:p w14:paraId="62376451" w14:textId="76787984" w:rsidR="007A34FE" w:rsidRPr="007A34FE" w:rsidRDefault="007A34FE" w:rsidP="007215D2">
      <w:pPr>
        <w:numPr>
          <w:ilvl w:val="0"/>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Teriparatide may be indicated when </w:t>
      </w:r>
      <w:r w:rsidR="00AC3734"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 are present</w:t>
      </w:r>
      <w:bookmarkStart w:id="20" w:name="cl_c_11"/>
      <w:bookmarkEnd w:id="20"/>
      <w:r w:rsidRPr="007A34FE">
        <w:rPr>
          <w:rFonts w:ascii="Futura" w:eastAsia="Calibri" w:hAnsi="Futura" w:cs="Calibri"/>
          <w:color w:val="000000"/>
          <w:sz w:val="20"/>
          <w:szCs w:val="20"/>
          <w:lang w:bidi="en-US"/>
        </w:rPr>
        <w:t>:</w:t>
      </w:r>
    </w:p>
    <w:p w14:paraId="0210675F" w14:textId="1B0131C8" w:rsidR="007A34FE" w:rsidRP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Clinical findings include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bookmarkStart w:id="21" w:name="cl_c_37"/>
      <w:bookmarkEnd w:id="21"/>
      <w:r w:rsidRPr="007A34FE">
        <w:rPr>
          <w:rFonts w:ascii="Futura" w:eastAsia="Calibri" w:hAnsi="Futura" w:cs="Calibri"/>
          <w:color w:val="000000"/>
          <w:sz w:val="20"/>
          <w:szCs w:val="20"/>
          <w:lang w:bidi="en-US"/>
        </w:rPr>
        <w:t>:</w:t>
      </w:r>
    </w:p>
    <w:p w14:paraId="4A5A6939" w14:textId="2BF3EFE3" w:rsidR="007A34FE" w:rsidRPr="007A34FE" w:rsidRDefault="007A34FE" w:rsidP="007215D2">
      <w:pPr>
        <w:numPr>
          <w:ilvl w:val="2"/>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Female with postmenopausal osteoporosis, as indicated by </w:t>
      </w:r>
      <w:r w:rsidR="00AC3734"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09839504" w14:textId="77777777" w:rsidR="007A34FE" w:rsidRPr="007A34FE" w:rsidRDefault="007A34FE" w:rsidP="007215D2">
      <w:pPr>
        <w:numPr>
          <w:ilvl w:val="3"/>
          <w:numId w:val="6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18 years or older</w:t>
      </w:r>
    </w:p>
    <w:p w14:paraId="17F874C0" w14:textId="31C3C665" w:rsidR="007A34FE" w:rsidRPr="007A34FE" w:rsidRDefault="007A34FE" w:rsidP="007215D2">
      <w:pPr>
        <w:numPr>
          <w:ilvl w:val="3"/>
          <w:numId w:val="70"/>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Documented osteoporosis,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31A3A95E" w14:textId="77777777" w:rsidR="007A34FE" w:rsidRPr="007A34FE" w:rsidRDefault="007A34FE" w:rsidP="007215D2">
      <w:pPr>
        <w:numPr>
          <w:ilvl w:val="4"/>
          <w:numId w:val="7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Femoral neck, spine, or total hip bone mineral density T-score between -1.0 to -2.5 and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6EA536CA" w14:textId="40257343" w:rsidR="007A34FE" w:rsidRPr="007A34FE" w:rsidRDefault="007A34FE" w:rsidP="007215D2">
      <w:pPr>
        <w:numPr>
          <w:ilvl w:val="5"/>
          <w:numId w:val="7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lastRenderedPageBreak/>
        <w:t>Fracture Risk Assessment Tool (FRAX®) 10-year probability for major osteoporotic fracture of 20% or greater</w:t>
      </w:r>
    </w:p>
    <w:p w14:paraId="5333D3B3" w14:textId="58ADC303" w:rsidR="007A34FE" w:rsidRPr="007A34FE" w:rsidRDefault="007A34FE" w:rsidP="007215D2">
      <w:pPr>
        <w:numPr>
          <w:ilvl w:val="5"/>
          <w:numId w:val="7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Assessment Tool (FRAX®) 10-year probability of hip fracture greater than country-specific threshold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3% or greater in the United States)</w:t>
      </w:r>
      <w:r w:rsidR="006D1320" w:rsidRPr="007A34FE">
        <w:rPr>
          <w:rFonts w:ascii="Futura" w:eastAsia="Calibri" w:hAnsi="Futura" w:cs="Calibri"/>
          <w:color w:val="000000"/>
          <w:sz w:val="20"/>
          <w:szCs w:val="20"/>
          <w:lang w:bidi="en-US"/>
        </w:rPr>
        <w:t xml:space="preserve"> </w:t>
      </w:r>
    </w:p>
    <w:p w14:paraId="064D5EA9" w14:textId="77777777" w:rsidR="007A34FE" w:rsidRPr="007A34FE" w:rsidRDefault="007A34FE" w:rsidP="007215D2">
      <w:pPr>
        <w:numPr>
          <w:ilvl w:val="5"/>
          <w:numId w:val="7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Fragility fracture of proximal humerus, pelvis, or distal forearm in patient 50 years or older</w:t>
      </w:r>
    </w:p>
    <w:p w14:paraId="61352AB2" w14:textId="77777777" w:rsidR="007A34FE" w:rsidRPr="007A34FE" w:rsidRDefault="007A34FE" w:rsidP="007215D2">
      <w:pPr>
        <w:numPr>
          <w:ilvl w:val="4"/>
          <w:numId w:val="7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Femoral neck, spine, or total hip bone mineral density T-score -2.5 or less</w:t>
      </w:r>
    </w:p>
    <w:p w14:paraId="4FB3DC6F" w14:textId="3AE89F94" w:rsidR="007A34FE" w:rsidRPr="007A34FE" w:rsidRDefault="007A34FE" w:rsidP="007215D2">
      <w:pPr>
        <w:numPr>
          <w:ilvl w:val="4"/>
          <w:numId w:val="7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Hip or vertebral fragility (</w:t>
      </w:r>
      <w:r w:rsidR="006D1320" w:rsidRPr="007A34FE">
        <w:rPr>
          <w:rFonts w:ascii="Futura" w:eastAsia="Calibri" w:hAnsi="Futura" w:cs="Calibri"/>
          <w:color w:val="000000"/>
          <w:sz w:val="20"/>
          <w:szCs w:val="20"/>
          <w:lang w:bidi="en-US"/>
        </w:rPr>
        <w:t>i.e.</w:t>
      </w:r>
      <w:r w:rsidRPr="007A34FE">
        <w:rPr>
          <w:rFonts w:ascii="Futura" w:eastAsia="Calibri" w:hAnsi="Futura" w:cs="Calibri"/>
          <w:color w:val="000000"/>
          <w:sz w:val="20"/>
          <w:szCs w:val="20"/>
          <w:lang w:bidi="en-US"/>
        </w:rPr>
        <w:t xml:space="preserve">, </w:t>
      </w:r>
      <w:r w:rsidR="006D1320" w:rsidRPr="007A34FE">
        <w:rPr>
          <w:rFonts w:ascii="Futura" w:eastAsia="Calibri" w:hAnsi="Futura" w:cs="Calibri"/>
          <w:color w:val="000000"/>
          <w:sz w:val="20"/>
          <w:szCs w:val="20"/>
          <w:lang w:bidi="en-US"/>
        </w:rPr>
        <w:t>low trauma</w:t>
      </w:r>
      <w:r w:rsidRPr="007A34FE">
        <w:rPr>
          <w:rFonts w:ascii="Futura" w:eastAsia="Calibri" w:hAnsi="Futura" w:cs="Calibri"/>
          <w:color w:val="000000"/>
          <w:sz w:val="20"/>
          <w:szCs w:val="20"/>
          <w:lang w:bidi="en-US"/>
        </w:rPr>
        <w:t>) fracture in patient 50 years or older</w:t>
      </w:r>
    </w:p>
    <w:p w14:paraId="421C6C22" w14:textId="093EBCF9" w:rsidR="007A34FE" w:rsidRPr="007A34FE" w:rsidRDefault="007A34FE" w:rsidP="007215D2">
      <w:pPr>
        <w:numPr>
          <w:ilvl w:val="3"/>
          <w:numId w:val="7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Need for therapy with teriparatide,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576D3E13" w14:textId="77777777" w:rsidR="007A34FE" w:rsidRPr="007A34FE" w:rsidRDefault="007A34FE" w:rsidP="007215D2">
      <w:pPr>
        <w:numPr>
          <w:ilvl w:val="4"/>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Failure of, inability to tolerate, or contraindication to other available osteoporosis therapy, including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14F3440F" w14:textId="77777777"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Abaloparatide</w:t>
      </w:r>
    </w:p>
    <w:p w14:paraId="5386AF2B" w14:textId="77777777"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Calcitonin</w:t>
      </w:r>
    </w:p>
    <w:p w14:paraId="70FAD58A" w14:textId="77777777"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Denosumab</w:t>
      </w:r>
    </w:p>
    <w:p w14:paraId="61DF15ED" w14:textId="20EDC99B"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Intravenous bisphosphonate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ibandronate, zoledronic acid)</w:t>
      </w:r>
    </w:p>
    <w:p w14:paraId="46591C9C" w14:textId="1F9EE8E8"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Oral bisphosphonate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alendronate, risedronate, ibandronate)</w:t>
      </w:r>
    </w:p>
    <w:p w14:paraId="63AB5BA5" w14:textId="77777777"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Raloxifene</w:t>
      </w:r>
    </w:p>
    <w:p w14:paraId="3FE7B404" w14:textId="77777777" w:rsidR="007A34FE" w:rsidRPr="007A34FE" w:rsidRDefault="007A34FE" w:rsidP="007215D2">
      <w:pPr>
        <w:numPr>
          <w:ilvl w:val="5"/>
          <w:numId w:val="7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Romosozumab</w:t>
      </w:r>
    </w:p>
    <w:p w14:paraId="36F1C696" w14:textId="46E44585" w:rsidR="007A34FE" w:rsidRPr="007A34FE" w:rsidRDefault="007A34FE" w:rsidP="007215D2">
      <w:pPr>
        <w:numPr>
          <w:ilvl w:val="4"/>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Risk factors for fracture,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bookmarkStart w:id="22" w:name="cl_c_71"/>
      <w:bookmarkEnd w:id="22"/>
      <w:r w:rsidRPr="007A34FE">
        <w:rPr>
          <w:rFonts w:ascii="Futura" w:eastAsia="Calibri" w:hAnsi="Futura" w:cs="Calibri"/>
          <w:color w:val="000000"/>
          <w:sz w:val="20"/>
          <w:szCs w:val="20"/>
          <w:lang w:bidi="en-US"/>
        </w:rPr>
        <w:t>:</w:t>
      </w:r>
    </w:p>
    <w:p w14:paraId="745C26C1"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Alcohol intake of 3 or more drinks per day</w:t>
      </w:r>
    </w:p>
    <w:p w14:paraId="0E47B825" w14:textId="3E4BC779"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BMI less than 20 </w:t>
      </w:r>
    </w:p>
    <w:p w14:paraId="70702AFF"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Current cigarette use</w:t>
      </w:r>
    </w:p>
    <w:p w14:paraId="1A2E6463" w14:textId="44A28133"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xml:space="preserve">Glucocorticoid use of 3 </w:t>
      </w:r>
      <w:r w:rsidR="006D1320" w:rsidRPr="007A34FE">
        <w:rPr>
          <w:rFonts w:ascii="Futura" w:eastAsia="Calibri" w:hAnsi="Futura" w:cs="Calibri"/>
          <w:color w:val="000000"/>
          <w:sz w:val="20"/>
          <w:szCs w:val="20"/>
          <w:lang w:bidi="en-US"/>
        </w:rPr>
        <w:t>months</w:t>
      </w:r>
      <w:r w:rsidRPr="007A34FE">
        <w:rPr>
          <w:rFonts w:ascii="Futura" w:eastAsia="Calibri" w:hAnsi="Futura" w:cs="Calibri"/>
          <w:color w:val="000000"/>
          <w:sz w:val="20"/>
          <w:szCs w:val="20"/>
          <w:lang w:bidi="en-US"/>
        </w:rPr>
        <w:t xml:space="preserve"> or greater duration</w:t>
      </w:r>
    </w:p>
    <w:p w14:paraId="00CDE53D"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Multiple falls in previous 1 year</w:t>
      </w:r>
    </w:p>
    <w:p w14:paraId="75DFFC45"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Parental hip fracture</w:t>
      </w:r>
    </w:p>
    <w:p w14:paraId="2CDDDC3A"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Personal history of fragility or osteoporotic fracture</w:t>
      </w:r>
    </w:p>
    <w:p w14:paraId="56567782" w14:textId="77777777" w:rsidR="007A34FE" w:rsidRPr="007A34FE" w:rsidRDefault="007A34FE" w:rsidP="007215D2">
      <w:pPr>
        <w:numPr>
          <w:ilvl w:val="5"/>
          <w:numId w:val="7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Rheumatoid arthritis (confirmed diagnosis)</w:t>
      </w:r>
    </w:p>
    <w:p w14:paraId="4E339948" w14:textId="1973E357" w:rsidR="007A34FE" w:rsidRPr="007A34FE" w:rsidRDefault="007A34FE" w:rsidP="007215D2">
      <w:pPr>
        <w:numPr>
          <w:ilvl w:val="2"/>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Glucocorticoid-induced osteoporosis in male or female, as indicated by </w:t>
      </w:r>
      <w:r w:rsidR="006D1320"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2C8C3DF1" w14:textId="77777777" w:rsidR="007A34FE" w:rsidRPr="007A34FE" w:rsidRDefault="007A34FE" w:rsidP="007215D2">
      <w:pPr>
        <w:numPr>
          <w:ilvl w:val="3"/>
          <w:numId w:val="77"/>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18 years or older</w:t>
      </w:r>
    </w:p>
    <w:p w14:paraId="1B3117C7" w14:textId="77777777" w:rsidR="007A34FE" w:rsidRPr="007A34FE" w:rsidRDefault="007A34FE" w:rsidP="007215D2">
      <w:pPr>
        <w:numPr>
          <w:ilvl w:val="3"/>
          <w:numId w:val="7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Documented osteoporosis,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4569DCDF" w14:textId="77777777" w:rsidR="007A34FE" w:rsidRPr="007A34FE" w:rsidRDefault="007A34FE" w:rsidP="007215D2">
      <w:pPr>
        <w:numPr>
          <w:ilvl w:val="4"/>
          <w:numId w:val="7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Femoral neck, lumbar spine, or total hip bone mineral density T-score of less than -2.0</w:t>
      </w:r>
    </w:p>
    <w:p w14:paraId="094B3DF8" w14:textId="77777777" w:rsidR="007A34FE" w:rsidRPr="007A34FE" w:rsidRDefault="007A34FE" w:rsidP="007215D2">
      <w:pPr>
        <w:numPr>
          <w:ilvl w:val="4"/>
          <w:numId w:val="80"/>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History of osteoporotic fracture</w:t>
      </w:r>
    </w:p>
    <w:p w14:paraId="2694F63D" w14:textId="77777777" w:rsidR="007A34FE" w:rsidRPr="007A34FE" w:rsidRDefault="007A34FE" w:rsidP="007215D2">
      <w:pPr>
        <w:numPr>
          <w:ilvl w:val="3"/>
          <w:numId w:val="8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Duration of glucocorticoid therapy expected to be 3 months or longer</w:t>
      </w:r>
    </w:p>
    <w:p w14:paraId="3BB73CE8" w14:textId="77777777" w:rsidR="007A34FE" w:rsidRPr="007A34FE" w:rsidRDefault="007A34FE" w:rsidP="007215D2">
      <w:pPr>
        <w:numPr>
          <w:ilvl w:val="3"/>
          <w:numId w:val="8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Daily dose equivalent to 5 mg or more of prednisone</w:t>
      </w:r>
    </w:p>
    <w:p w14:paraId="7FA85357" w14:textId="77777777" w:rsidR="007A34FE" w:rsidRPr="007A34FE" w:rsidRDefault="007A34FE" w:rsidP="007215D2">
      <w:pPr>
        <w:numPr>
          <w:ilvl w:val="3"/>
          <w:numId w:val="8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Need for therapy with teriparatide,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7792203F" w14:textId="77777777" w:rsidR="007A34FE" w:rsidRPr="007A34FE" w:rsidRDefault="007A34FE" w:rsidP="007215D2">
      <w:pPr>
        <w:numPr>
          <w:ilvl w:val="4"/>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Failure of, inability to tolerate, or contraindication to other available osteoporosis therapy, including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3BEC039A" w14:textId="77777777"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Abaloparatide</w:t>
      </w:r>
    </w:p>
    <w:p w14:paraId="68530861" w14:textId="77777777"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lastRenderedPageBreak/>
        <w:t>Calcitonin</w:t>
      </w:r>
    </w:p>
    <w:p w14:paraId="54755E7C" w14:textId="77777777"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Denosumab</w:t>
      </w:r>
    </w:p>
    <w:p w14:paraId="35B68E71" w14:textId="576B5848"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Intravenous bisphosphonate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ibandronate, zoledronic acid)</w:t>
      </w:r>
    </w:p>
    <w:p w14:paraId="37836542" w14:textId="16FF8D64"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Oral bisphosphonate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alendronate, risedronate, ibandronate)</w:t>
      </w:r>
    </w:p>
    <w:p w14:paraId="46D07782" w14:textId="77777777"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Raloxifene</w:t>
      </w:r>
    </w:p>
    <w:p w14:paraId="46858A99" w14:textId="77777777" w:rsidR="007A34FE" w:rsidRPr="007A34FE" w:rsidRDefault="007A34FE" w:rsidP="007215D2">
      <w:pPr>
        <w:numPr>
          <w:ilvl w:val="5"/>
          <w:numId w:val="8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Romosozumab (female only)</w:t>
      </w:r>
    </w:p>
    <w:p w14:paraId="0C22D74B" w14:textId="64E00547" w:rsidR="007A34FE" w:rsidRPr="007A34FE" w:rsidRDefault="007A34FE" w:rsidP="007215D2">
      <w:pPr>
        <w:numPr>
          <w:ilvl w:val="4"/>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Risk factors for fracture,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2FAA0534"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Alcohol intake of 3 or more drinks per day</w:t>
      </w:r>
    </w:p>
    <w:p w14:paraId="28967522" w14:textId="013752DF"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BMI less than 20</w:t>
      </w:r>
    </w:p>
    <w:p w14:paraId="2F1859A4"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Current cigarette use</w:t>
      </w:r>
    </w:p>
    <w:p w14:paraId="5433BC92" w14:textId="4AB5D2F5"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xml:space="preserve">Glucocorticoid use of 3 </w:t>
      </w:r>
      <w:r w:rsidR="006D1320" w:rsidRPr="007A34FE">
        <w:rPr>
          <w:rFonts w:ascii="Futura" w:eastAsia="Calibri" w:hAnsi="Futura" w:cs="Calibri"/>
          <w:color w:val="000000"/>
          <w:sz w:val="20"/>
          <w:szCs w:val="20"/>
          <w:lang w:bidi="en-US"/>
        </w:rPr>
        <w:t>months</w:t>
      </w:r>
      <w:r w:rsidRPr="007A34FE">
        <w:rPr>
          <w:rFonts w:ascii="Futura" w:eastAsia="Calibri" w:hAnsi="Futura" w:cs="Calibri"/>
          <w:color w:val="000000"/>
          <w:sz w:val="20"/>
          <w:szCs w:val="20"/>
          <w:lang w:bidi="en-US"/>
        </w:rPr>
        <w:t xml:space="preserve"> or greater duration</w:t>
      </w:r>
    </w:p>
    <w:p w14:paraId="5FD61EA1"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Multiple falls in previous 1 year</w:t>
      </w:r>
    </w:p>
    <w:p w14:paraId="3461EE6A"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Parental hip fracture</w:t>
      </w:r>
    </w:p>
    <w:p w14:paraId="2C042FE0"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Personal history of fragility or osteoporotic fracture</w:t>
      </w:r>
    </w:p>
    <w:p w14:paraId="37AD7646" w14:textId="77777777" w:rsidR="007A34FE" w:rsidRPr="007A34FE" w:rsidRDefault="007A34FE" w:rsidP="007215D2">
      <w:pPr>
        <w:numPr>
          <w:ilvl w:val="5"/>
          <w:numId w:val="8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Rheumatoid arthritis (confirmed diagnosis)</w:t>
      </w:r>
    </w:p>
    <w:p w14:paraId="149F235D" w14:textId="43AB8C62" w:rsidR="007A34FE" w:rsidRPr="007A34FE" w:rsidRDefault="007A34FE" w:rsidP="007215D2">
      <w:pPr>
        <w:numPr>
          <w:ilvl w:val="2"/>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Male with hypogonadal or primary osteoporosis, as indicated by </w:t>
      </w:r>
      <w:r w:rsidR="006D1320"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381C68A6" w14:textId="77777777" w:rsidR="007A34FE" w:rsidRPr="007A34FE" w:rsidRDefault="007A34FE" w:rsidP="007215D2">
      <w:pPr>
        <w:numPr>
          <w:ilvl w:val="3"/>
          <w:numId w:val="8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18 years or older</w:t>
      </w:r>
    </w:p>
    <w:p w14:paraId="34E7752F" w14:textId="514C8019" w:rsidR="007A34FE" w:rsidRPr="007A34FE" w:rsidRDefault="007A34FE" w:rsidP="007215D2">
      <w:pPr>
        <w:numPr>
          <w:ilvl w:val="3"/>
          <w:numId w:val="87"/>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Documented osteoporosis,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2E874D7D" w14:textId="77777777" w:rsidR="007A34FE" w:rsidRPr="007A34FE" w:rsidRDefault="007A34FE" w:rsidP="007215D2">
      <w:pPr>
        <w:numPr>
          <w:ilvl w:val="4"/>
          <w:numId w:val="8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Femoral neck, spine, or total hip bone mineral density T-score between -1.0 to -2.5 and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17B47DD8" w14:textId="32887714" w:rsidR="007A34FE" w:rsidRPr="007A34FE" w:rsidRDefault="007A34FE" w:rsidP="007215D2">
      <w:pPr>
        <w:numPr>
          <w:ilvl w:val="5"/>
          <w:numId w:val="8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Assessment Tool (FRAX®)10-year probability for major osteoporotic fracture of 20% or greater</w:t>
      </w:r>
    </w:p>
    <w:p w14:paraId="024C7B40" w14:textId="5C8EE723" w:rsidR="007A34FE" w:rsidRPr="007A34FE" w:rsidRDefault="007A34FE" w:rsidP="007215D2">
      <w:pPr>
        <w:numPr>
          <w:ilvl w:val="5"/>
          <w:numId w:val="8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Assessment Tool (FRAX®)10-year probability of hip fracture greater than country-specific threshold (</w:t>
      </w:r>
      <w:r w:rsidR="006D1320"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3% or greater in the United States)</w:t>
      </w:r>
      <w:r w:rsidR="006D1320" w:rsidRPr="007A34FE">
        <w:rPr>
          <w:rFonts w:ascii="Futura" w:eastAsia="Calibri" w:hAnsi="Futura" w:cs="Calibri"/>
          <w:color w:val="000000"/>
          <w:sz w:val="20"/>
          <w:szCs w:val="20"/>
          <w:lang w:bidi="en-US"/>
        </w:rPr>
        <w:t xml:space="preserve"> </w:t>
      </w:r>
    </w:p>
    <w:p w14:paraId="4B20E711" w14:textId="77777777" w:rsidR="007A34FE" w:rsidRPr="007A34FE" w:rsidRDefault="007A34FE" w:rsidP="007215D2">
      <w:pPr>
        <w:numPr>
          <w:ilvl w:val="5"/>
          <w:numId w:val="8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Fragility fracture of proximal humerus, pelvis, or distal forearm in patient 50 years or older</w:t>
      </w:r>
    </w:p>
    <w:p w14:paraId="484D6672" w14:textId="77777777" w:rsidR="007A34FE" w:rsidRPr="007A34FE" w:rsidRDefault="007A34FE" w:rsidP="007215D2">
      <w:pPr>
        <w:numPr>
          <w:ilvl w:val="4"/>
          <w:numId w:val="8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Femoral neck, spine, or total hip bone mineral density T-score -2.5 or less</w:t>
      </w:r>
    </w:p>
    <w:p w14:paraId="5C600A24" w14:textId="45E18FB2" w:rsidR="007A34FE" w:rsidRPr="007A34FE" w:rsidRDefault="007A34FE" w:rsidP="007215D2">
      <w:pPr>
        <w:numPr>
          <w:ilvl w:val="4"/>
          <w:numId w:val="90"/>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Hip or vertebral fragility (</w:t>
      </w:r>
      <w:r w:rsidR="008623DC" w:rsidRPr="007A34FE">
        <w:rPr>
          <w:rFonts w:ascii="Futura" w:eastAsia="Calibri" w:hAnsi="Futura" w:cs="Calibri"/>
          <w:color w:val="000000"/>
          <w:sz w:val="20"/>
          <w:szCs w:val="20"/>
          <w:lang w:bidi="en-US"/>
        </w:rPr>
        <w:t>i.e.</w:t>
      </w:r>
      <w:r w:rsidRPr="007A34FE">
        <w:rPr>
          <w:rFonts w:ascii="Futura" w:eastAsia="Calibri" w:hAnsi="Futura" w:cs="Calibri"/>
          <w:color w:val="000000"/>
          <w:sz w:val="20"/>
          <w:szCs w:val="20"/>
          <w:lang w:bidi="en-US"/>
        </w:rPr>
        <w:t xml:space="preserve">, </w:t>
      </w:r>
      <w:r w:rsidR="008623DC" w:rsidRPr="007A34FE">
        <w:rPr>
          <w:rFonts w:ascii="Futura" w:eastAsia="Calibri" w:hAnsi="Futura" w:cs="Calibri"/>
          <w:color w:val="000000"/>
          <w:sz w:val="20"/>
          <w:szCs w:val="20"/>
          <w:lang w:bidi="en-US"/>
        </w:rPr>
        <w:t>low trauma</w:t>
      </w:r>
      <w:r w:rsidRPr="007A34FE">
        <w:rPr>
          <w:rFonts w:ascii="Futura" w:eastAsia="Calibri" w:hAnsi="Futura" w:cs="Calibri"/>
          <w:color w:val="000000"/>
          <w:sz w:val="20"/>
          <w:szCs w:val="20"/>
          <w:lang w:bidi="en-US"/>
        </w:rPr>
        <w:t>) fracture in patient 50 years or older</w:t>
      </w:r>
    </w:p>
    <w:p w14:paraId="6B71E20A" w14:textId="03D7C9E1" w:rsidR="007A34FE" w:rsidRPr="007A34FE" w:rsidRDefault="007A34FE" w:rsidP="007215D2">
      <w:pPr>
        <w:numPr>
          <w:ilvl w:val="3"/>
          <w:numId w:val="9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Need for therapy with teriparatide,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0AF9871B" w14:textId="77777777" w:rsidR="007A34FE" w:rsidRPr="007A34FE" w:rsidRDefault="007A34FE" w:rsidP="007215D2">
      <w:pPr>
        <w:numPr>
          <w:ilvl w:val="4"/>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Failure of, inability to tolerate, or contraindication to other available osteoporosis therapy, including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21C0D8D3" w14:textId="77777777"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Abaloparatide</w:t>
      </w:r>
    </w:p>
    <w:p w14:paraId="7E4ACB19" w14:textId="77777777"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Calcitonin</w:t>
      </w:r>
    </w:p>
    <w:p w14:paraId="165E83FB" w14:textId="77777777"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Denosumab</w:t>
      </w:r>
    </w:p>
    <w:p w14:paraId="42F9FE70" w14:textId="6038B760"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Intravenous bisphosphonate (</w:t>
      </w:r>
      <w:r w:rsidR="008623DC"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ibandronate, zoledronic acid)</w:t>
      </w:r>
    </w:p>
    <w:p w14:paraId="0BA2E8C1" w14:textId="7CBD4727"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Oral bisphosphonate (</w:t>
      </w:r>
      <w:r w:rsidR="008623DC"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alendronate, risedronate, ibandronate)</w:t>
      </w:r>
    </w:p>
    <w:p w14:paraId="03C7F455" w14:textId="77777777" w:rsidR="007A34FE" w:rsidRPr="007A34FE" w:rsidRDefault="007A34FE" w:rsidP="007215D2">
      <w:pPr>
        <w:numPr>
          <w:ilvl w:val="5"/>
          <w:numId w:val="92"/>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Raloxifene</w:t>
      </w:r>
    </w:p>
    <w:p w14:paraId="28F5078B" w14:textId="045FA95E" w:rsidR="007A34FE" w:rsidRPr="007A34FE" w:rsidRDefault="007A34FE" w:rsidP="007215D2">
      <w:pPr>
        <w:numPr>
          <w:ilvl w:val="4"/>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Risk factors for fracture,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bookmarkStart w:id="23" w:name="cl_c_110"/>
      <w:bookmarkEnd w:id="23"/>
      <w:r w:rsidRPr="007A34FE">
        <w:rPr>
          <w:rFonts w:ascii="Futura" w:eastAsia="Calibri" w:hAnsi="Futura" w:cs="Calibri"/>
          <w:color w:val="000000"/>
          <w:sz w:val="20"/>
          <w:szCs w:val="20"/>
          <w:lang w:bidi="en-US"/>
        </w:rPr>
        <w:t>:</w:t>
      </w:r>
    </w:p>
    <w:p w14:paraId="5B2F2ED8"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Alcohol intake of 3 or more drinks per day</w:t>
      </w:r>
    </w:p>
    <w:p w14:paraId="3C24FC05" w14:textId="64F13AE9"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lastRenderedPageBreak/>
        <w:t>BMI less than 20</w:t>
      </w:r>
    </w:p>
    <w:p w14:paraId="71E526B4"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Current cigarette use</w:t>
      </w:r>
    </w:p>
    <w:p w14:paraId="7F0AADE4" w14:textId="351A1E92"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xml:space="preserve">Glucocorticoid use of 3 </w:t>
      </w:r>
      <w:r w:rsidR="008623DC" w:rsidRPr="007A34FE">
        <w:rPr>
          <w:rFonts w:ascii="Futura" w:eastAsia="Calibri" w:hAnsi="Futura" w:cs="Calibri"/>
          <w:color w:val="000000"/>
          <w:sz w:val="20"/>
          <w:szCs w:val="20"/>
          <w:lang w:bidi="en-US"/>
        </w:rPr>
        <w:t>months</w:t>
      </w:r>
      <w:r w:rsidRPr="007A34FE">
        <w:rPr>
          <w:rFonts w:ascii="Futura" w:eastAsia="Calibri" w:hAnsi="Futura" w:cs="Calibri"/>
          <w:color w:val="000000"/>
          <w:sz w:val="20"/>
          <w:szCs w:val="20"/>
          <w:lang w:bidi="en-US"/>
        </w:rPr>
        <w:t xml:space="preserve"> or greater duration</w:t>
      </w:r>
    </w:p>
    <w:p w14:paraId="57BDF040"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Multiple falls in previous 1 year</w:t>
      </w:r>
    </w:p>
    <w:p w14:paraId="2CB69ACC"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Parental hip fracture</w:t>
      </w:r>
    </w:p>
    <w:p w14:paraId="745D4BE3"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Personal history of fragility or osteoporotic fracture</w:t>
      </w:r>
    </w:p>
    <w:p w14:paraId="3A35441E" w14:textId="77777777" w:rsidR="007A34FE" w:rsidRPr="007A34FE" w:rsidRDefault="007A34FE" w:rsidP="007215D2">
      <w:pPr>
        <w:numPr>
          <w:ilvl w:val="5"/>
          <w:numId w:val="93"/>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Rheumatoid arthritis (confirmed diagnosis)</w:t>
      </w:r>
    </w:p>
    <w:p w14:paraId="28830818" w14:textId="42383015" w:rsidR="007A34FE" w:rsidRPr="007A34FE" w:rsidRDefault="007A34FE" w:rsidP="007215D2">
      <w:pPr>
        <w:numPr>
          <w:ilvl w:val="2"/>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 Prevention of glucocorticoid-induced osteoporosis in female or male, as indicated by </w:t>
      </w:r>
      <w:r w:rsidR="008623DC"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45DA485A" w14:textId="77777777" w:rsidR="007A34FE" w:rsidRPr="007A34FE" w:rsidRDefault="007A34FE" w:rsidP="007215D2">
      <w:pPr>
        <w:numPr>
          <w:ilvl w:val="3"/>
          <w:numId w:val="94"/>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18 years or older</w:t>
      </w:r>
    </w:p>
    <w:p w14:paraId="6216710C" w14:textId="7607B7D6" w:rsidR="007A34FE" w:rsidRPr="007A34FE" w:rsidRDefault="007A34FE" w:rsidP="007215D2">
      <w:pPr>
        <w:numPr>
          <w:ilvl w:val="3"/>
          <w:numId w:val="95"/>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Moderate to high risk of fracture,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11FBB6B9" w14:textId="76C021AC" w:rsidR="007A34FE" w:rsidRPr="007A34FE" w:rsidRDefault="007A34FE" w:rsidP="007215D2">
      <w:pPr>
        <w:numPr>
          <w:ilvl w:val="4"/>
          <w:numId w:val="9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40 years or older and </w:t>
      </w:r>
      <w:r w:rsidR="008623DC"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009D9720" w14:textId="77777777" w:rsidR="007A34FE" w:rsidRPr="007A34FE" w:rsidRDefault="007A34FE" w:rsidP="007215D2">
      <w:pPr>
        <w:numPr>
          <w:ilvl w:val="5"/>
          <w:numId w:val="9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Duration of glucocorticoid therapy expected to be 3 months or longer</w:t>
      </w:r>
    </w:p>
    <w:p w14:paraId="38BB57C7" w14:textId="77777777" w:rsidR="007A34FE" w:rsidRPr="007A34FE" w:rsidRDefault="007A34FE" w:rsidP="007215D2">
      <w:pPr>
        <w:numPr>
          <w:ilvl w:val="5"/>
          <w:numId w:val="9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Glucocorticoid daily dose equivalent to 2.5 mg or greater of prednisone</w:t>
      </w:r>
    </w:p>
    <w:p w14:paraId="06234D22" w14:textId="77777777" w:rsidR="007A34FE" w:rsidRPr="007A34FE" w:rsidRDefault="007A34FE" w:rsidP="007215D2">
      <w:pPr>
        <w:numPr>
          <w:ilvl w:val="5"/>
          <w:numId w:val="96"/>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1352B625" w14:textId="23E00E53" w:rsidR="007A34FE" w:rsidRPr="007A34FE" w:rsidRDefault="007A34FE" w:rsidP="007215D2">
      <w:pPr>
        <w:numPr>
          <w:ilvl w:val="6"/>
          <w:numId w:val="97"/>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Assessment Tool (FRAX®) 10-year probability for major osteoporotic fracture 10% or greater</w:t>
      </w:r>
    </w:p>
    <w:p w14:paraId="67226409" w14:textId="7671A796" w:rsidR="007A34FE" w:rsidRPr="007A34FE" w:rsidRDefault="007A34FE" w:rsidP="007215D2">
      <w:pPr>
        <w:numPr>
          <w:ilvl w:val="6"/>
          <w:numId w:val="9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Fracture Risk Assessment Tool (FRAX®) 10-year probability of hip fracture greater than country-specific threshold (</w:t>
      </w:r>
      <w:r w:rsidR="008623DC"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1% or greater in United States)</w:t>
      </w:r>
      <w:r w:rsidR="008623DC" w:rsidRPr="007A34FE">
        <w:rPr>
          <w:rFonts w:ascii="Futura" w:eastAsia="Calibri" w:hAnsi="Futura" w:cs="Calibri"/>
          <w:color w:val="000000"/>
          <w:sz w:val="20"/>
          <w:szCs w:val="20"/>
          <w:lang w:bidi="en-US"/>
        </w:rPr>
        <w:t xml:space="preserve"> </w:t>
      </w:r>
    </w:p>
    <w:p w14:paraId="2D6488C2" w14:textId="395DCA0D" w:rsidR="007A34FE" w:rsidRPr="007A34FE" w:rsidRDefault="007A34FE" w:rsidP="007215D2">
      <w:pPr>
        <w:numPr>
          <w:ilvl w:val="4"/>
          <w:numId w:val="9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Age younger than 40 years and </w:t>
      </w:r>
      <w:r w:rsidR="008623DC" w:rsidRPr="007A34FE">
        <w:rPr>
          <w:rFonts w:ascii="Futura" w:eastAsia="Calibri" w:hAnsi="Futura" w:cs="Calibri"/>
          <w:b/>
          <w:bCs/>
          <w:color w:val="000000"/>
          <w:sz w:val="20"/>
          <w:szCs w:val="20"/>
          <w:lang w:bidi="en-US"/>
        </w:rPr>
        <w:t>ALL</w:t>
      </w:r>
      <w:r w:rsidRPr="007A34FE">
        <w:rPr>
          <w:rFonts w:ascii="Futura" w:eastAsia="Calibri" w:hAnsi="Futura" w:cs="Calibri"/>
          <w:color w:val="000000"/>
          <w:sz w:val="20"/>
          <w:szCs w:val="20"/>
          <w:lang w:bidi="en-US"/>
        </w:rPr>
        <w:t xml:space="preserve"> the following:</w:t>
      </w:r>
    </w:p>
    <w:p w14:paraId="04DF4C01" w14:textId="77777777" w:rsidR="007A34FE" w:rsidRPr="007A34FE" w:rsidRDefault="007A34FE" w:rsidP="007215D2">
      <w:pPr>
        <w:numPr>
          <w:ilvl w:val="5"/>
          <w:numId w:val="9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Duration of glucocorticoid therapy expected to be 6 months or longer</w:t>
      </w:r>
    </w:p>
    <w:p w14:paraId="05736775" w14:textId="77777777" w:rsidR="007A34FE" w:rsidRPr="007A34FE" w:rsidRDefault="007A34FE" w:rsidP="007215D2">
      <w:pPr>
        <w:numPr>
          <w:ilvl w:val="5"/>
          <w:numId w:val="9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Glucocorticoid daily dose equivalent to 7.5 mg or greater of prednisone</w:t>
      </w:r>
    </w:p>
    <w:p w14:paraId="3754A39C" w14:textId="77777777" w:rsidR="007A34FE" w:rsidRPr="007A34FE" w:rsidRDefault="007A34FE" w:rsidP="007215D2">
      <w:pPr>
        <w:numPr>
          <w:ilvl w:val="5"/>
          <w:numId w:val="99"/>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Bone mineral density testing, as indicated by </w:t>
      </w:r>
      <w:r w:rsidRPr="007A34FE">
        <w:rPr>
          <w:rFonts w:ascii="Futura" w:eastAsia="Calibri" w:hAnsi="Futura" w:cs="Calibri"/>
          <w:b/>
          <w:bCs/>
          <w:color w:val="000000"/>
          <w:sz w:val="20"/>
          <w:szCs w:val="20"/>
          <w:lang w:bidi="en-US"/>
        </w:rPr>
        <w:t>1 or more</w:t>
      </w:r>
      <w:r w:rsidRPr="007A34FE">
        <w:rPr>
          <w:rFonts w:ascii="Futura" w:eastAsia="Calibri" w:hAnsi="Futura" w:cs="Calibri"/>
          <w:color w:val="000000"/>
          <w:sz w:val="20"/>
          <w:szCs w:val="20"/>
          <w:lang w:bidi="en-US"/>
        </w:rPr>
        <w:t> of the following:</w:t>
      </w:r>
    </w:p>
    <w:p w14:paraId="451562AD" w14:textId="3D5B816C" w:rsidR="007A34FE" w:rsidRPr="007A34FE" w:rsidRDefault="007A34FE" w:rsidP="007215D2">
      <w:pPr>
        <w:numPr>
          <w:ilvl w:val="6"/>
          <w:numId w:val="100"/>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Rapid bone loss (</w:t>
      </w:r>
      <w:r w:rsidR="008623DC" w:rsidRPr="007A34FE">
        <w:rPr>
          <w:rFonts w:ascii="Futura" w:eastAsia="Calibri" w:hAnsi="Futura" w:cs="Calibri"/>
          <w:color w:val="000000"/>
          <w:sz w:val="20"/>
          <w:szCs w:val="20"/>
          <w:lang w:bidi="en-US"/>
        </w:rPr>
        <w:t>i.e.</w:t>
      </w:r>
      <w:r w:rsidRPr="007A34FE">
        <w:rPr>
          <w:rFonts w:ascii="Futura" w:eastAsia="Calibri" w:hAnsi="Futura" w:cs="Calibri"/>
          <w:color w:val="000000"/>
          <w:sz w:val="20"/>
          <w:szCs w:val="20"/>
          <w:lang w:bidi="en-US"/>
        </w:rPr>
        <w:t>, 10% or greater decrease in spine or hip bone mineral density in 1 year)</w:t>
      </w:r>
    </w:p>
    <w:p w14:paraId="607759DE" w14:textId="77777777" w:rsidR="007A34FE" w:rsidRPr="007A34FE" w:rsidRDefault="007A34FE" w:rsidP="007215D2">
      <w:pPr>
        <w:numPr>
          <w:ilvl w:val="6"/>
          <w:numId w:val="101"/>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Spine or total hip bone mineral density z score -3.0 or less</w:t>
      </w:r>
    </w:p>
    <w:p w14:paraId="5DBF7D60" w14:textId="77777777" w:rsidR="007A34FE" w:rsidRP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No active Paget disease of bone</w:t>
      </w:r>
    </w:p>
    <w:p w14:paraId="1639C304" w14:textId="57D9487F" w:rsidR="007A34FE" w:rsidRP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No history of hereditary disorders predisposing to osteosarcoma (</w:t>
      </w:r>
      <w:r w:rsidR="008623DC" w:rsidRPr="007A34FE">
        <w:rPr>
          <w:rFonts w:ascii="Futura" w:eastAsia="Calibri" w:hAnsi="Futura" w:cs="Calibri"/>
          <w:color w:val="000000"/>
          <w:sz w:val="20"/>
          <w:szCs w:val="20"/>
          <w:lang w:bidi="en-US"/>
        </w:rPr>
        <w:t>e.g.</w:t>
      </w:r>
      <w:r w:rsidRPr="007A34FE">
        <w:rPr>
          <w:rFonts w:ascii="Futura" w:eastAsia="Calibri" w:hAnsi="Futura" w:cs="Calibri"/>
          <w:color w:val="000000"/>
          <w:sz w:val="20"/>
          <w:szCs w:val="20"/>
          <w:lang w:bidi="en-US"/>
        </w:rPr>
        <w:t>, hereditary retinoblastoma, Li-Fraumeni syndrome)</w:t>
      </w:r>
    </w:p>
    <w:p w14:paraId="40FB1C96" w14:textId="45BF09FA" w:rsidR="007A34FE" w:rsidRP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No history of skeletal irradiation</w:t>
      </w:r>
    </w:p>
    <w:p w14:paraId="7C847FCE" w14:textId="74330093" w:rsidR="007A34FE" w:rsidRP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No hypercalcemia</w:t>
      </w:r>
      <w:bookmarkStart w:id="24" w:name="cl_c_129"/>
      <w:bookmarkEnd w:id="24"/>
    </w:p>
    <w:p w14:paraId="0227EF76" w14:textId="77777777" w:rsidR="007A34FE" w:rsidRDefault="007A34FE" w:rsidP="007215D2">
      <w:pPr>
        <w:numPr>
          <w:ilvl w:val="1"/>
          <w:numId w:val="68"/>
        </w:numPr>
        <w:spacing w:after="0" w:line="240" w:lineRule="auto"/>
        <w:jc w:val="both"/>
        <w:rPr>
          <w:rFonts w:ascii="Futura" w:eastAsia="Calibri" w:hAnsi="Futura" w:cs="Calibri"/>
          <w:color w:val="000000"/>
          <w:sz w:val="20"/>
          <w:szCs w:val="20"/>
          <w:lang w:bidi="en-US"/>
        </w:rPr>
      </w:pPr>
      <w:r w:rsidRPr="007A34FE">
        <w:rPr>
          <w:rFonts w:ascii="Futura" w:eastAsia="Calibri" w:hAnsi="Futura" w:cs="Calibri"/>
          <w:color w:val="000000"/>
          <w:sz w:val="20"/>
          <w:szCs w:val="20"/>
          <w:lang w:bidi="en-US"/>
        </w:rPr>
        <w:t>No skeletal malignancy or bone metastases</w:t>
      </w:r>
    </w:p>
    <w:p w14:paraId="0B300B5B" w14:textId="77777777" w:rsidR="00214EAB" w:rsidRDefault="00214EAB" w:rsidP="00214EAB">
      <w:pPr>
        <w:spacing w:after="0" w:line="240" w:lineRule="auto"/>
        <w:jc w:val="both"/>
        <w:rPr>
          <w:rFonts w:ascii="Futura" w:eastAsia="Calibri" w:hAnsi="Futura" w:cs="Calibri"/>
          <w:color w:val="000000"/>
          <w:sz w:val="20"/>
          <w:szCs w:val="20"/>
          <w:lang w:bidi="en-US"/>
        </w:rPr>
      </w:pPr>
    </w:p>
    <w:p w14:paraId="69D8287D" w14:textId="63AA09DA" w:rsidR="00E86030" w:rsidRPr="00E86030" w:rsidRDefault="00E86030" w:rsidP="007215D2">
      <w:pPr>
        <w:numPr>
          <w:ilvl w:val="0"/>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Denosumab may be indicated for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bookmarkStart w:id="25" w:name="cl_c_1"/>
      <w:bookmarkEnd w:id="25"/>
      <w:r w:rsidRPr="00E86030">
        <w:rPr>
          <w:rFonts w:ascii="Futura" w:eastAsia="Calibri" w:hAnsi="Futura" w:cs="Calibri"/>
          <w:color w:val="000000"/>
          <w:sz w:val="20"/>
          <w:szCs w:val="20"/>
          <w:lang w:bidi="en-US"/>
        </w:rPr>
        <w:t>:</w:t>
      </w:r>
    </w:p>
    <w:p w14:paraId="24963F58" w14:textId="592BC33B"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Giant cell tumor of bone in adult or skeletally mature adolescent, as indicated by </w:t>
      </w:r>
      <w:r w:rsidR="00F61B64"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3308D714"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Documented need for denosumab,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752FF85F" w14:textId="77777777" w:rsidR="00E86030" w:rsidRPr="00E86030" w:rsidRDefault="00E86030" w:rsidP="007215D2">
      <w:pPr>
        <w:numPr>
          <w:ilvl w:val="3"/>
          <w:numId w:val="10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Recurrent disease</w:t>
      </w:r>
    </w:p>
    <w:p w14:paraId="2B32C0F4" w14:textId="77777777" w:rsidR="00F61B64" w:rsidRDefault="00E86030" w:rsidP="00986B6E">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Unresectable disease, or located where planned surgery is likely to result in severe morbidity</w:t>
      </w:r>
    </w:p>
    <w:p w14:paraId="7485B8EA" w14:textId="031A837B" w:rsidR="00E86030" w:rsidRPr="00E86030" w:rsidRDefault="00E86030" w:rsidP="00986B6E">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Hypocalcemia absent or treated with calcium and vitamin D as necessary</w:t>
      </w:r>
    </w:p>
    <w:p w14:paraId="4913D38E" w14:textId="41AD70F9" w:rsidR="00E86030" w:rsidRPr="00E86030" w:rsidRDefault="00F61B64"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lastRenderedPageBreak/>
        <w:t>Patients are</w:t>
      </w:r>
      <w:r w:rsidR="00E86030" w:rsidRPr="00E86030">
        <w:rPr>
          <w:rFonts w:ascii="Futura" w:eastAsia="Calibri" w:hAnsi="Futura" w:cs="Calibri"/>
          <w:color w:val="000000"/>
          <w:sz w:val="20"/>
          <w:szCs w:val="20"/>
          <w:lang w:bidi="en-US"/>
        </w:rPr>
        <w:t xml:space="preserve"> not pregnant.</w:t>
      </w:r>
      <w:r w:rsidRPr="00E86030">
        <w:rPr>
          <w:rFonts w:ascii="Futura" w:eastAsia="Calibri" w:hAnsi="Futura" w:cs="Calibri"/>
          <w:color w:val="000000"/>
          <w:sz w:val="20"/>
          <w:szCs w:val="20"/>
          <w:lang w:bidi="en-US"/>
        </w:rPr>
        <w:t xml:space="preserve"> </w:t>
      </w:r>
    </w:p>
    <w:p w14:paraId="18A7D3D1" w14:textId="032FA662"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Hypercalcemia of malignancy, as indicated by </w:t>
      </w:r>
      <w:r w:rsidR="00F61B64"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7975BB9C"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18 years or older</w:t>
      </w:r>
    </w:p>
    <w:p w14:paraId="34AB42D6"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Hypercalcemia due to current malignancy and refractory to bisphosphonate therapy</w:t>
      </w:r>
    </w:p>
    <w:p w14:paraId="292FECA0"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Serum calcium of 12.5 mg/dL (3.1 mmol/L) or greater, after correction for serum albumin</w:t>
      </w:r>
    </w:p>
    <w:p w14:paraId="2E958AA5" w14:textId="412A5D48" w:rsidR="00E86030" w:rsidRPr="00E86030" w:rsidRDefault="00F61B64"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Patients are</w:t>
      </w:r>
      <w:r w:rsidR="00E86030" w:rsidRPr="00E86030">
        <w:rPr>
          <w:rFonts w:ascii="Futura" w:eastAsia="Calibri" w:hAnsi="Futura" w:cs="Calibri"/>
          <w:color w:val="000000"/>
          <w:sz w:val="20"/>
          <w:szCs w:val="20"/>
          <w:lang w:bidi="en-US"/>
        </w:rPr>
        <w:t xml:space="preserve"> not pregnant.</w:t>
      </w:r>
    </w:p>
    <w:p w14:paraId="39F4B196" w14:textId="1EC2F86B"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Osteoporosis and need for treatment in patient at high risk for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7B4D9291" w14:textId="30495A42"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Postmenopausal female with osteoporosis and </w:t>
      </w:r>
      <w:r w:rsidR="00F61B64"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69FCC507" w14:textId="5096EF5C" w:rsidR="00E86030" w:rsidRPr="00E86030" w:rsidRDefault="00E86030" w:rsidP="007215D2">
      <w:pPr>
        <w:numPr>
          <w:ilvl w:val="3"/>
          <w:numId w:val="10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Documented osteoporosis,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bookmarkStart w:id="26" w:name="cl_c_88"/>
      <w:bookmarkEnd w:id="26"/>
      <w:r w:rsidRPr="00E86030">
        <w:rPr>
          <w:rFonts w:ascii="Futura" w:eastAsia="Calibri" w:hAnsi="Futura" w:cs="Calibri"/>
          <w:color w:val="000000"/>
          <w:sz w:val="20"/>
          <w:szCs w:val="20"/>
          <w:lang w:bidi="en-US"/>
        </w:rPr>
        <w:t>:</w:t>
      </w:r>
    </w:p>
    <w:p w14:paraId="211F7D3B" w14:textId="77777777" w:rsidR="00E86030" w:rsidRPr="00E86030" w:rsidRDefault="00E86030" w:rsidP="007215D2">
      <w:pPr>
        <w:numPr>
          <w:ilvl w:val="4"/>
          <w:numId w:val="10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Femoral neck, spine, or total hip bone mineral density T-score between -1.0 to -2.5 and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5013F22F" w14:textId="4F4DE179" w:rsidR="00E86030" w:rsidRPr="00E86030" w:rsidRDefault="00E86030" w:rsidP="007215D2">
      <w:pPr>
        <w:numPr>
          <w:ilvl w:val="5"/>
          <w:numId w:val="10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for major osteoporotic fracture of 20% or greater</w:t>
      </w:r>
    </w:p>
    <w:p w14:paraId="283EE64B" w14:textId="57494C2E" w:rsidR="00E86030" w:rsidRPr="00E86030" w:rsidRDefault="00E86030" w:rsidP="007215D2">
      <w:pPr>
        <w:numPr>
          <w:ilvl w:val="5"/>
          <w:numId w:val="10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of hip fracture greater than country-specific threshold (eg, 3% or greater in the United States)</w:t>
      </w:r>
      <w:r w:rsidR="00F61B64" w:rsidRPr="00E86030">
        <w:rPr>
          <w:rFonts w:ascii="Futura" w:eastAsia="Calibri" w:hAnsi="Futura" w:cs="Calibri"/>
          <w:color w:val="000000"/>
          <w:sz w:val="20"/>
          <w:szCs w:val="20"/>
          <w:lang w:bidi="en-US"/>
        </w:rPr>
        <w:t xml:space="preserve"> </w:t>
      </w:r>
    </w:p>
    <w:p w14:paraId="10159055" w14:textId="77777777" w:rsidR="00E86030" w:rsidRPr="00E86030" w:rsidRDefault="00E86030" w:rsidP="007215D2">
      <w:pPr>
        <w:numPr>
          <w:ilvl w:val="5"/>
          <w:numId w:val="10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Fragility fracture of proximal humerus, pelvis, or distal forearm in patient 50 years or older</w:t>
      </w:r>
    </w:p>
    <w:p w14:paraId="264ED27D" w14:textId="77777777" w:rsidR="00E86030" w:rsidRPr="00E86030" w:rsidRDefault="00E86030" w:rsidP="007215D2">
      <w:pPr>
        <w:numPr>
          <w:ilvl w:val="4"/>
          <w:numId w:val="107"/>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Femoral neck, spine, or total hip bone mineral density T-score -2.5 or less</w:t>
      </w:r>
    </w:p>
    <w:p w14:paraId="38EDD56F" w14:textId="334B7E60" w:rsidR="00E86030" w:rsidRPr="00E86030" w:rsidRDefault="00E86030" w:rsidP="007215D2">
      <w:pPr>
        <w:numPr>
          <w:ilvl w:val="4"/>
          <w:numId w:val="10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Hip or vertebral fragility (</w:t>
      </w:r>
      <w:r w:rsidR="00F61B64" w:rsidRPr="00E86030">
        <w:rPr>
          <w:rFonts w:ascii="Futura" w:eastAsia="Calibri" w:hAnsi="Futura" w:cs="Calibri"/>
          <w:color w:val="000000"/>
          <w:sz w:val="20"/>
          <w:szCs w:val="20"/>
          <w:lang w:bidi="en-US"/>
        </w:rPr>
        <w:t>i.e.</w:t>
      </w:r>
      <w:r w:rsidRPr="00E86030">
        <w:rPr>
          <w:rFonts w:ascii="Futura" w:eastAsia="Calibri" w:hAnsi="Futura" w:cs="Calibri"/>
          <w:color w:val="000000"/>
          <w:sz w:val="20"/>
          <w:szCs w:val="20"/>
          <w:lang w:bidi="en-US"/>
        </w:rPr>
        <w:t xml:space="preserve">, </w:t>
      </w:r>
      <w:r w:rsidR="00F61B64" w:rsidRPr="00E86030">
        <w:rPr>
          <w:rFonts w:ascii="Futura" w:eastAsia="Calibri" w:hAnsi="Futura" w:cs="Calibri"/>
          <w:color w:val="000000"/>
          <w:sz w:val="20"/>
          <w:szCs w:val="20"/>
          <w:lang w:bidi="en-US"/>
        </w:rPr>
        <w:t>low trauma</w:t>
      </w:r>
      <w:r w:rsidRPr="00E86030">
        <w:rPr>
          <w:rFonts w:ascii="Futura" w:eastAsia="Calibri" w:hAnsi="Futura" w:cs="Calibri"/>
          <w:color w:val="000000"/>
          <w:sz w:val="20"/>
          <w:szCs w:val="20"/>
          <w:lang w:bidi="en-US"/>
        </w:rPr>
        <w:t>) fracture in patient 50 years or older</w:t>
      </w:r>
    </w:p>
    <w:p w14:paraId="1721DCDE" w14:textId="001742B7" w:rsidR="00E86030" w:rsidRPr="00E86030" w:rsidRDefault="00E86030" w:rsidP="007215D2">
      <w:pPr>
        <w:numPr>
          <w:ilvl w:val="3"/>
          <w:numId w:val="10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Need for therapy with denosumab,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0922E673" w14:textId="20744480" w:rsidR="00E86030" w:rsidRPr="00E86030" w:rsidRDefault="00E86030" w:rsidP="007215D2">
      <w:pPr>
        <w:numPr>
          <w:ilvl w:val="4"/>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Failure of, inability to tolerate, or contraindication to other available osteoporosis therapy, including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1AEF8D4A" w14:textId="77777777"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Abaloparatide</w:t>
      </w:r>
    </w:p>
    <w:p w14:paraId="730C1C9B" w14:textId="77777777"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Calcitonin</w:t>
      </w:r>
    </w:p>
    <w:p w14:paraId="32B26683" w14:textId="6D97535D"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Intravenous bisphosphonate (</w:t>
      </w:r>
      <w:r w:rsidR="00F61B64"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ibandronate, zoledronic acid)</w:t>
      </w:r>
    </w:p>
    <w:p w14:paraId="01138157" w14:textId="4FF86559"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Oral bisphosphonate (</w:t>
      </w:r>
      <w:r w:rsidR="00F61B64"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alendronate, risedronate, ibandronate)</w:t>
      </w:r>
    </w:p>
    <w:p w14:paraId="6455A099" w14:textId="77777777"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Raloxifene</w:t>
      </w:r>
    </w:p>
    <w:p w14:paraId="43FEFE0D" w14:textId="77777777"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Romosozumab</w:t>
      </w:r>
    </w:p>
    <w:p w14:paraId="28651051" w14:textId="77777777" w:rsidR="00E86030" w:rsidRPr="00E86030" w:rsidRDefault="00E86030" w:rsidP="007215D2">
      <w:pPr>
        <w:numPr>
          <w:ilvl w:val="5"/>
          <w:numId w:val="11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Teriparatide</w:t>
      </w:r>
    </w:p>
    <w:p w14:paraId="482FB3DD" w14:textId="004A796D" w:rsidR="00E86030" w:rsidRPr="00E86030" w:rsidRDefault="00E86030" w:rsidP="007215D2">
      <w:pPr>
        <w:numPr>
          <w:ilvl w:val="4"/>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Risk factors for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r w:rsidR="00F61B64">
        <w:rPr>
          <w:rFonts w:ascii="Futura" w:eastAsia="Calibri" w:hAnsi="Futura" w:cs="Calibri"/>
          <w:color w:val="000000"/>
          <w:sz w:val="20"/>
          <w:szCs w:val="20"/>
          <w:lang w:bidi="en-US"/>
        </w:rPr>
        <w:t>:</w:t>
      </w:r>
    </w:p>
    <w:p w14:paraId="69140737"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Alcohol intake of 3 or more drinks per day</w:t>
      </w:r>
    </w:p>
    <w:p w14:paraId="4065B254" w14:textId="296B0055"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BMI less than 20</w:t>
      </w:r>
    </w:p>
    <w:p w14:paraId="18772931"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Current cigarette use</w:t>
      </w:r>
    </w:p>
    <w:p w14:paraId="2E740D20" w14:textId="3F3FF61E"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Glucocorticoid use of 3 </w:t>
      </w:r>
      <w:r w:rsidR="00F61B64" w:rsidRPr="00E86030">
        <w:rPr>
          <w:rFonts w:ascii="Futura" w:eastAsia="Calibri" w:hAnsi="Futura" w:cs="Calibri"/>
          <w:color w:val="000000"/>
          <w:sz w:val="20"/>
          <w:szCs w:val="20"/>
          <w:lang w:bidi="en-US"/>
        </w:rPr>
        <w:t>months</w:t>
      </w:r>
      <w:r w:rsidRPr="00E86030">
        <w:rPr>
          <w:rFonts w:ascii="Futura" w:eastAsia="Calibri" w:hAnsi="Futura" w:cs="Calibri"/>
          <w:color w:val="000000"/>
          <w:sz w:val="20"/>
          <w:szCs w:val="20"/>
          <w:lang w:bidi="en-US"/>
        </w:rPr>
        <w:t xml:space="preserve"> or greater duration</w:t>
      </w:r>
    </w:p>
    <w:p w14:paraId="352853AD"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Multiple falls in previous 1 year</w:t>
      </w:r>
    </w:p>
    <w:p w14:paraId="671EDF86"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Parental hip fracture</w:t>
      </w:r>
    </w:p>
    <w:p w14:paraId="2672030E"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Personal history of fragility or osteoporotic fracture</w:t>
      </w:r>
    </w:p>
    <w:p w14:paraId="7EEBEEB9" w14:textId="77777777" w:rsidR="00E86030" w:rsidRPr="00E86030" w:rsidRDefault="00E86030" w:rsidP="007215D2">
      <w:pPr>
        <w:numPr>
          <w:ilvl w:val="5"/>
          <w:numId w:val="11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Rheumatoid arthritis (confirmed diagnosis)</w:t>
      </w:r>
    </w:p>
    <w:p w14:paraId="3C3229B7" w14:textId="77777777" w:rsidR="00E86030" w:rsidRPr="00E86030" w:rsidRDefault="00E86030" w:rsidP="007215D2">
      <w:pPr>
        <w:numPr>
          <w:ilvl w:val="3"/>
          <w:numId w:val="11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6B772AB8" w14:textId="1EE0929B"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Male with osteoporosis and </w:t>
      </w:r>
      <w:r w:rsidR="001C074F"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55AEBB7F" w14:textId="77777777" w:rsidR="00E86030" w:rsidRPr="00E86030" w:rsidRDefault="00E86030" w:rsidP="007215D2">
      <w:pPr>
        <w:numPr>
          <w:ilvl w:val="3"/>
          <w:numId w:val="11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lastRenderedPageBreak/>
        <w:t>Age 18 years or older</w:t>
      </w:r>
    </w:p>
    <w:p w14:paraId="2B5BCB48" w14:textId="286518D4" w:rsidR="00E86030" w:rsidRPr="00E86030" w:rsidRDefault="00E86030" w:rsidP="007215D2">
      <w:pPr>
        <w:numPr>
          <w:ilvl w:val="3"/>
          <w:numId w:val="114"/>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Documented osteoporosis,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7B926251" w14:textId="77777777" w:rsidR="00E86030" w:rsidRPr="00E86030" w:rsidRDefault="00E86030" w:rsidP="007215D2">
      <w:pPr>
        <w:numPr>
          <w:ilvl w:val="4"/>
          <w:numId w:val="11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Femoral neck, spine, or total hip bone mineral density T-score between -1.0 to -2.5 and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39D2C379" w14:textId="1B0D0B10" w:rsidR="00E86030" w:rsidRPr="00E86030" w:rsidRDefault="00E86030" w:rsidP="007215D2">
      <w:pPr>
        <w:numPr>
          <w:ilvl w:val="5"/>
          <w:numId w:val="11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for major osteoporotic fracture of 20% or greater</w:t>
      </w:r>
    </w:p>
    <w:p w14:paraId="65A1D125" w14:textId="7828BFB8" w:rsidR="00E86030" w:rsidRPr="00E86030" w:rsidRDefault="00E86030" w:rsidP="007215D2">
      <w:pPr>
        <w:numPr>
          <w:ilvl w:val="5"/>
          <w:numId w:val="11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of hip fracture greater than country-specific threshold (</w:t>
      </w:r>
      <w:r w:rsidR="001C074F"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3% or greater in the United States)</w:t>
      </w:r>
      <w:r w:rsidR="001C074F" w:rsidRPr="00E86030">
        <w:rPr>
          <w:rFonts w:ascii="Futura" w:eastAsia="Calibri" w:hAnsi="Futura" w:cs="Calibri"/>
          <w:color w:val="000000"/>
          <w:sz w:val="20"/>
          <w:szCs w:val="20"/>
          <w:lang w:bidi="en-US"/>
        </w:rPr>
        <w:t xml:space="preserve"> </w:t>
      </w:r>
    </w:p>
    <w:p w14:paraId="0BE170A1" w14:textId="77777777" w:rsidR="00E86030" w:rsidRPr="00E86030" w:rsidRDefault="00E86030" w:rsidP="007215D2">
      <w:pPr>
        <w:numPr>
          <w:ilvl w:val="5"/>
          <w:numId w:val="11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Fragility fracture of proximal humerus, pelvis, or distal forearm in patient 50 years or older</w:t>
      </w:r>
    </w:p>
    <w:p w14:paraId="62AA9173" w14:textId="77777777" w:rsidR="00E86030" w:rsidRPr="00E86030" w:rsidRDefault="00E86030" w:rsidP="007215D2">
      <w:pPr>
        <w:numPr>
          <w:ilvl w:val="4"/>
          <w:numId w:val="11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Femoral neck, spine, or total hip bone mineral density T-score -2.5 or less</w:t>
      </w:r>
    </w:p>
    <w:p w14:paraId="449AD520" w14:textId="57C490E3" w:rsidR="00E86030" w:rsidRPr="00E86030" w:rsidRDefault="00E86030" w:rsidP="007215D2">
      <w:pPr>
        <w:numPr>
          <w:ilvl w:val="4"/>
          <w:numId w:val="117"/>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Hip or vertebral fragility (</w:t>
      </w:r>
      <w:r w:rsidR="001C074F" w:rsidRPr="00E86030">
        <w:rPr>
          <w:rFonts w:ascii="Futura" w:eastAsia="Calibri" w:hAnsi="Futura" w:cs="Calibri"/>
          <w:color w:val="000000"/>
          <w:sz w:val="20"/>
          <w:szCs w:val="20"/>
          <w:lang w:bidi="en-US"/>
        </w:rPr>
        <w:t>i.e.</w:t>
      </w:r>
      <w:r w:rsidRPr="00E86030">
        <w:rPr>
          <w:rFonts w:ascii="Futura" w:eastAsia="Calibri" w:hAnsi="Futura" w:cs="Calibri"/>
          <w:color w:val="000000"/>
          <w:sz w:val="20"/>
          <w:szCs w:val="20"/>
          <w:lang w:bidi="en-US"/>
        </w:rPr>
        <w:t xml:space="preserve">, </w:t>
      </w:r>
      <w:r w:rsidR="001C074F" w:rsidRPr="00E86030">
        <w:rPr>
          <w:rFonts w:ascii="Futura" w:eastAsia="Calibri" w:hAnsi="Futura" w:cs="Calibri"/>
          <w:color w:val="000000"/>
          <w:sz w:val="20"/>
          <w:szCs w:val="20"/>
          <w:lang w:bidi="en-US"/>
        </w:rPr>
        <w:t>low trauma</w:t>
      </w:r>
      <w:r w:rsidRPr="00E86030">
        <w:rPr>
          <w:rFonts w:ascii="Futura" w:eastAsia="Calibri" w:hAnsi="Futura" w:cs="Calibri"/>
          <w:color w:val="000000"/>
          <w:sz w:val="20"/>
          <w:szCs w:val="20"/>
          <w:lang w:bidi="en-US"/>
        </w:rPr>
        <w:t>) fracture in patient 50 years or older</w:t>
      </w:r>
    </w:p>
    <w:p w14:paraId="02EEF921" w14:textId="2AF7477B" w:rsidR="00E86030" w:rsidRPr="00E86030" w:rsidRDefault="00E86030" w:rsidP="007215D2">
      <w:pPr>
        <w:numPr>
          <w:ilvl w:val="3"/>
          <w:numId w:val="11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Need for therapy with denosumab,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24D82BED" w14:textId="6B7E0C8D" w:rsidR="00E86030" w:rsidRPr="00E86030" w:rsidRDefault="00E86030" w:rsidP="007215D2">
      <w:pPr>
        <w:numPr>
          <w:ilvl w:val="4"/>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Failure of, inability to tolerate, or contraindication to other available osteoporosis therapy, including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bookmarkStart w:id="27" w:name="cl_c_122"/>
      <w:bookmarkEnd w:id="27"/>
      <w:r w:rsidRPr="00E86030">
        <w:rPr>
          <w:rFonts w:ascii="Futura" w:eastAsia="Calibri" w:hAnsi="Futura" w:cs="Calibri"/>
          <w:color w:val="000000"/>
          <w:sz w:val="20"/>
          <w:szCs w:val="20"/>
          <w:lang w:bidi="en-US"/>
        </w:rPr>
        <w:t>:</w:t>
      </w:r>
    </w:p>
    <w:p w14:paraId="1419DAC6" w14:textId="77777777"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Abaloparatide</w:t>
      </w:r>
    </w:p>
    <w:p w14:paraId="3EEAA6D6" w14:textId="77777777"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Calcitonin</w:t>
      </w:r>
    </w:p>
    <w:p w14:paraId="4B0F2F77" w14:textId="1BA00A3C"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Intravenous bisphosphonate (</w:t>
      </w:r>
      <w:r w:rsidR="001C074F"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ibandronate, zoledronic acid)</w:t>
      </w:r>
    </w:p>
    <w:p w14:paraId="209CCC43" w14:textId="57B4D956"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Oral bisphosphonate (</w:t>
      </w:r>
      <w:r w:rsidR="001C074F"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alendronate, risedronate, ibandronate)</w:t>
      </w:r>
    </w:p>
    <w:p w14:paraId="3A54ECA0" w14:textId="77777777"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Raloxifene</w:t>
      </w:r>
    </w:p>
    <w:p w14:paraId="67067823" w14:textId="77777777" w:rsidR="00E86030" w:rsidRPr="00E86030" w:rsidRDefault="00E86030" w:rsidP="007215D2">
      <w:pPr>
        <w:numPr>
          <w:ilvl w:val="5"/>
          <w:numId w:val="11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Teriparatide</w:t>
      </w:r>
    </w:p>
    <w:p w14:paraId="7E3BB186" w14:textId="50029288" w:rsidR="00E86030" w:rsidRPr="00E86030" w:rsidRDefault="00E86030" w:rsidP="007215D2">
      <w:pPr>
        <w:numPr>
          <w:ilvl w:val="4"/>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Risk factors for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53166793"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Alcohol intake of 3 or more drinks per day</w:t>
      </w:r>
    </w:p>
    <w:p w14:paraId="1D906306" w14:textId="49073A7D"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BMI less than 20</w:t>
      </w:r>
    </w:p>
    <w:p w14:paraId="473390E1"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Current cigarette use</w:t>
      </w:r>
    </w:p>
    <w:p w14:paraId="2049EE51" w14:textId="15C7CF79"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Glucocorticoid use of 3 </w:t>
      </w:r>
      <w:r w:rsidR="001C074F" w:rsidRPr="00E86030">
        <w:rPr>
          <w:rFonts w:ascii="Futura" w:eastAsia="Calibri" w:hAnsi="Futura" w:cs="Calibri"/>
          <w:color w:val="000000"/>
          <w:sz w:val="20"/>
          <w:szCs w:val="20"/>
          <w:lang w:bidi="en-US"/>
        </w:rPr>
        <w:t>months</w:t>
      </w:r>
      <w:r w:rsidRPr="00E86030">
        <w:rPr>
          <w:rFonts w:ascii="Futura" w:eastAsia="Calibri" w:hAnsi="Futura" w:cs="Calibri"/>
          <w:color w:val="000000"/>
          <w:sz w:val="20"/>
          <w:szCs w:val="20"/>
          <w:lang w:bidi="en-US"/>
        </w:rPr>
        <w:t xml:space="preserve"> or greater duration</w:t>
      </w:r>
    </w:p>
    <w:p w14:paraId="4F486674"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Multiple falls in previous 1 year</w:t>
      </w:r>
    </w:p>
    <w:p w14:paraId="278F3F7E"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Parental hip fracture</w:t>
      </w:r>
    </w:p>
    <w:p w14:paraId="3D8385F6"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Personal history of fragility or osteoporotic fracture</w:t>
      </w:r>
    </w:p>
    <w:p w14:paraId="79B70941" w14:textId="77777777" w:rsidR="00E86030" w:rsidRPr="00E86030" w:rsidRDefault="00E86030" w:rsidP="007215D2">
      <w:pPr>
        <w:numPr>
          <w:ilvl w:val="5"/>
          <w:numId w:val="12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Rheumatoid arthritis (confirmed diagnosis)</w:t>
      </w:r>
    </w:p>
    <w:p w14:paraId="7DEAE91D" w14:textId="77777777" w:rsidR="00E86030" w:rsidRPr="00E86030" w:rsidRDefault="00E86030" w:rsidP="007215D2">
      <w:pPr>
        <w:numPr>
          <w:ilvl w:val="3"/>
          <w:numId w:val="12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37FDE9F5" w14:textId="5B458D7B"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Glucocorticoid-induced osteoporosis in male or female, as indicated by </w:t>
      </w:r>
      <w:r w:rsidR="00953C0A"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bookmarkStart w:id="28" w:name="cl_c_130"/>
      <w:bookmarkEnd w:id="28"/>
      <w:r w:rsidRPr="00E86030">
        <w:rPr>
          <w:rFonts w:ascii="Futura" w:eastAsia="Calibri" w:hAnsi="Futura" w:cs="Calibri"/>
          <w:color w:val="000000"/>
          <w:sz w:val="20"/>
          <w:szCs w:val="20"/>
          <w:lang w:bidi="en-US"/>
        </w:rPr>
        <w:t>:</w:t>
      </w:r>
    </w:p>
    <w:p w14:paraId="23052F8D" w14:textId="77777777" w:rsidR="00E86030" w:rsidRPr="00E86030" w:rsidRDefault="00E86030" w:rsidP="007215D2">
      <w:pPr>
        <w:numPr>
          <w:ilvl w:val="3"/>
          <w:numId w:val="12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18 years or older</w:t>
      </w:r>
    </w:p>
    <w:p w14:paraId="18FDFC02" w14:textId="77777777" w:rsidR="00E86030" w:rsidRPr="00E86030" w:rsidRDefault="00E86030" w:rsidP="007215D2">
      <w:pPr>
        <w:numPr>
          <w:ilvl w:val="3"/>
          <w:numId w:val="12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Documented osteoporosis,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32863D79" w14:textId="77777777" w:rsidR="001C074F" w:rsidRDefault="00E86030" w:rsidP="00A56F05">
      <w:pPr>
        <w:numPr>
          <w:ilvl w:val="4"/>
          <w:numId w:val="12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Femoral neck, lumbar spine, or total hip bone mineral density T-score of less than -2.0</w:t>
      </w:r>
    </w:p>
    <w:p w14:paraId="0355B7CA" w14:textId="73453C74" w:rsidR="00E86030" w:rsidRPr="00E86030" w:rsidRDefault="00E86030" w:rsidP="00A56F05">
      <w:pPr>
        <w:numPr>
          <w:ilvl w:val="4"/>
          <w:numId w:val="12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History of osteoporotic fracture</w:t>
      </w:r>
      <w:bookmarkStart w:id="29" w:name="cl_c_134"/>
      <w:bookmarkEnd w:id="29"/>
    </w:p>
    <w:p w14:paraId="0A78810D" w14:textId="77777777" w:rsidR="00E86030" w:rsidRPr="00E86030" w:rsidRDefault="00E86030" w:rsidP="007215D2">
      <w:pPr>
        <w:numPr>
          <w:ilvl w:val="3"/>
          <w:numId w:val="12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Duration of glucocorticoid therapy expected to be 3 months or longer</w:t>
      </w:r>
    </w:p>
    <w:p w14:paraId="4BFB79D5" w14:textId="563E86FE" w:rsidR="00E86030" w:rsidRPr="00E86030" w:rsidRDefault="00E86030" w:rsidP="007215D2">
      <w:pPr>
        <w:numPr>
          <w:ilvl w:val="3"/>
          <w:numId w:val="127"/>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Glucocorticoid daily dose equivalent to 5 mg or </w:t>
      </w:r>
      <w:r w:rsidR="002F58B6" w:rsidRPr="00E86030">
        <w:rPr>
          <w:rFonts w:ascii="Futura" w:eastAsia="Calibri" w:hAnsi="Futura" w:cs="Calibri"/>
          <w:color w:val="000000"/>
          <w:sz w:val="20"/>
          <w:szCs w:val="20"/>
          <w:lang w:bidi="en-US"/>
        </w:rPr>
        <w:t>greater</w:t>
      </w:r>
      <w:r w:rsidRPr="00E86030">
        <w:rPr>
          <w:rFonts w:ascii="Futura" w:eastAsia="Calibri" w:hAnsi="Futura" w:cs="Calibri"/>
          <w:color w:val="000000"/>
          <w:sz w:val="20"/>
          <w:szCs w:val="20"/>
          <w:lang w:bidi="en-US"/>
        </w:rPr>
        <w:t xml:space="preserve"> prednisone</w:t>
      </w:r>
    </w:p>
    <w:p w14:paraId="097DBD5E" w14:textId="77777777" w:rsidR="00E86030" w:rsidRPr="00E86030" w:rsidRDefault="00E86030" w:rsidP="007215D2">
      <w:pPr>
        <w:numPr>
          <w:ilvl w:val="3"/>
          <w:numId w:val="12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lastRenderedPageBreak/>
        <w:t>Need for therapy with denosumab,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37D68296" w14:textId="77777777" w:rsidR="00E86030" w:rsidRPr="00E86030" w:rsidRDefault="00E86030" w:rsidP="007215D2">
      <w:pPr>
        <w:numPr>
          <w:ilvl w:val="4"/>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Failure of, inability to tolerate, or contraindication to other available osteoporosis therapy, including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3B5C7A40" w14:textId="77777777"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Abaloparatide</w:t>
      </w:r>
    </w:p>
    <w:p w14:paraId="65CAC735" w14:textId="77777777"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Calcitonin</w:t>
      </w:r>
    </w:p>
    <w:p w14:paraId="2F4933EA" w14:textId="1F221B44"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Intravenous bisphosphonate (</w:t>
      </w:r>
      <w:r w:rsidR="002F58B6"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ibandronate, zoledronic acid)</w:t>
      </w:r>
    </w:p>
    <w:p w14:paraId="265974EC" w14:textId="6DC21626"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Oral bisphosphonate (</w:t>
      </w:r>
      <w:r w:rsidR="002F58B6"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alendronate, risedronate, ibandronate)</w:t>
      </w:r>
    </w:p>
    <w:p w14:paraId="50E73E33" w14:textId="77777777"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Raloxifene</w:t>
      </w:r>
    </w:p>
    <w:p w14:paraId="524A1AC5" w14:textId="77777777"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Romosozumab (female only)</w:t>
      </w:r>
    </w:p>
    <w:p w14:paraId="7FF1D526" w14:textId="77777777" w:rsidR="00E86030" w:rsidRPr="00E86030" w:rsidRDefault="00E86030" w:rsidP="007215D2">
      <w:pPr>
        <w:numPr>
          <w:ilvl w:val="5"/>
          <w:numId w:val="12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Teriparatide</w:t>
      </w:r>
    </w:p>
    <w:p w14:paraId="7B8B0DFC" w14:textId="49D89F26" w:rsidR="00E86030" w:rsidRPr="00E86030" w:rsidRDefault="00E86030" w:rsidP="007215D2">
      <w:pPr>
        <w:numPr>
          <w:ilvl w:val="4"/>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Risk factors for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20A46E11"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Alcohol intake of 3 or more drinks per day</w:t>
      </w:r>
    </w:p>
    <w:p w14:paraId="5F1F3CD8" w14:textId="2248E7CD"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BMI less than 20</w:t>
      </w:r>
    </w:p>
    <w:p w14:paraId="4C6E0CED"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Current cigarette use</w:t>
      </w:r>
    </w:p>
    <w:p w14:paraId="34F2AD80" w14:textId="039E6E93"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Glucocorticoid use of 3 </w:t>
      </w:r>
      <w:r w:rsidR="002F58B6" w:rsidRPr="00E86030">
        <w:rPr>
          <w:rFonts w:ascii="Futura" w:eastAsia="Calibri" w:hAnsi="Futura" w:cs="Calibri"/>
          <w:color w:val="000000"/>
          <w:sz w:val="20"/>
          <w:szCs w:val="20"/>
          <w:lang w:bidi="en-US"/>
        </w:rPr>
        <w:t>months</w:t>
      </w:r>
      <w:r w:rsidRPr="00E86030">
        <w:rPr>
          <w:rFonts w:ascii="Futura" w:eastAsia="Calibri" w:hAnsi="Futura" w:cs="Calibri"/>
          <w:color w:val="000000"/>
          <w:sz w:val="20"/>
          <w:szCs w:val="20"/>
          <w:lang w:bidi="en-US"/>
        </w:rPr>
        <w:t xml:space="preserve"> or greater duration</w:t>
      </w:r>
    </w:p>
    <w:p w14:paraId="5CF6D353"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Multiple falls in previous 1 year</w:t>
      </w:r>
    </w:p>
    <w:p w14:paraId="04161077"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Parental hip fracture</w:t>
      </w:r>
    </w:p>
    <w:p w14:paraId="5D825BA0"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Personal history of fragility or osteoporotic fracture</w:t>
      </w:r>
    </w:p>
    <w:p w14:paraId="6D020461" w14:textId="77777777" w:rsidR="00E86030" w:rsidRPr="00E86030" w:rsidRDefault="00E86030" w:rsidP="007215D2">
      <w:pPr>
        <w:numPr>
          <w:ilvl w:val="5"/>
          <w:numId w:val="13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Rheumatoid arthritis (confirmed diagnosis)</w:t>
      </w:r>
    </w:p>
    <w:p w14:paraId="016EF5BA" w14:textId="77777777" w:rsidR="00E86030" w:rsidRPr="00E86030" w:rsidRDefault="00E86030" w:rsidP="007215D2">
      <w:pPr>
        <w:numPr>
          <w:ilvl w:val="3"/>
          <w:numId w:val="13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18D5970C" w14:textId="1782188F" w:rsidR="00E86030" w:rsidRPr="00E86030" w:rsidRDefault="002F58B6" w:rsidP="007215D2">
      <w:pPr>
        <w:numPr>
          <w:ilvl w:val="3"/>
          <w:numId w:val="13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Patients are</w:t>
      </w:r>
      <w:r w:rsidR="00E86030" w:rsidRPr="00E86030">
        <w:rPr>
          <w:rFonts w:ascii="Futura" w:eastAsia="Calibri" w:hAnsi="Futura" w:cs="Calibri"/>
          <w:color w:val="000000"/>
          <w:sz w:val="20"/>
          <w:szCs w:val="20"/>
          <w:lang w:bidi="en-US"/>
        </w:rPr>
        <w:t xml:space="preserve"> not pregnant.</w:t>
      </w:r>
    </w:p>
    <w:p w14:paraId="55105CDC" w14:textId="621040AF"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Prevention of bone loss in female with breast cancer, as indicated by </w:t>
      </w:r>
      <w:r w:rsidR="00953C0A"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6FC73D6C"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 receiving adjuvant therapy with aromatase inhibitor</w:t>
      </w:r>
    </w:p>
    <w:p w14:paraId="498C4421" w14:textId="7CBB279C"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Clinical condition,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251E9569" w14:textId="77777777" w:rsidR="00E86030" w:rsidRPr="00E86030" w:rsidRDefault="00E86030" w:rsidP="007215D2">
      <w:pPr>
        <w:numPr>
          <w:ilvl w:val="3"/>
          <w:numId w:val="13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Bone mineral density T-score less than -2.0</w:t>
      </w:r>
    </w:p>
    <w:p w14:paraId="21569472" w14:textId="77777777" w:rsidR="00E86030" w:rsidRPr="00E86030" w:rsidRDefault="00E86030" w:rsidP="007215D2">
      <w:pPr>
        <w:numPr>
          <w:ilvl w:val="3"/>
          <w:numId w:val="134"/>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Risk factors for fracture, as indicated by </w:t>
      </w:r>
      <w:r w:rsidRPr="00E86030">
        <w:rPr>
          <w:rFonts w:ascii="Futura" w:eastAsia="Calibri" w:hAnsi="Futura" w:cs="Calibri"/>
          <w:b/>
          <w:bCs/>
          <w:color w:val="000000"/>
          <w:sz w:val="20"/>
          <w:szCs w:val="20"/>
          <w:lang w:bidi="en-US"/>
        </w:rPr>
        <w:t>2 or more</w:t>
      </w:r>
      <w:r w:rsidRPr="00E86030">
        <w:rPr>
          <w:rFonts w:ascii="Futura" w:eastAsia="Calibri" w:hAnsi="Futura" w:cs="Calibri"/>
          <w:color w:val="000000"/>
          <w:sz w:val="20"/>
          <w:szCs w:val="20"/>
          <w:lang w:bidi="en-US"/>
        </w:rPr>
        <w:t> of the following:</w:t>
      </w:r>
    </w:p>
    <w:p w14:paraId="11898ED7" w14:textId="77777777" w:rsidR="00E86030" w:rsidRPr="00E86030" w:rsidRDefault="00E86030" w:rsidP="007215D2">
      <w:pPr>
        <w:numPr>
          <w:ilvl w:val="4"/>
          <w:numId w:val="13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older than 65 years</w:t>
      </w:r>
    </w:p>
    <w:p w14:paraId="65399523" w14:textId="77777777" w:rsidR="00E86030" w:rsidRPr="00E86030" w:rsidRDefault="00E86030" w:rsidP="007215D2">
      <w:pPr>
        <w:numPr>
          <w:ilvl w:val="4"/>
          <w:numId w:val="13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Alcohol intake of 3 or more drinks per day</w:t>
      </w:r>
    </w:p>
    <w:p w14:paraId="58182BB8" w14:textId="77777777" w:rsidR="002F58B6" w:rsidRDefault="00E86030" w:rsidP="006A1319">
      <w:pPr>
        <w:numPr>
          <w:ilvl w:val="4"/>
          <w:numId w:val="13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BMI less than 20</w:t>
      </w:r>
    </w:p>
    <w:p w14:paraId="499B4153" w14:textId="0BA1C53B" w:rsidR="00E86030" w:rsidRPr="00E86030" w:rsidRDefault="00E86030" w:rsidP="006A1319">
      <w:pPr>
        <w:numPr>
          <w:ilvl w:val="4"/>
          <w:numId w:val="13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Bone mineral density T-score less than -1.5</w:t>
      </w:r>
    </w:p>
    <w:p w14:paraId="6425F095" w14:textId="77777777" w:rsidR="00E86030" w:rsidRPr="00E86030" w:rsidRDefault="00E86030" w:rsidP="007215D2">
      <w:pPr>
        <w:numPr>
          <w:ilvl w:val="4"/>
          <w:numId w:val="13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Current cigarette use</w:t>
      </w:r>
    </w:p>
    <w:p w14:paraId="58D45606" w14:textId="25D5F696" w:rsidR="002F58B6" w:rsidRDefault="00E86030" w:rsidP="006E6DD3">
      <w:pPr>
        <w:numPr>
          <w:ilvl w:val="4"/>
          <w:numId w:val="14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Glucocorticosteroid use of 3 </w:t>
      </w:r>
      <w:r w:rsidR="002F58B6" w:rsidRPr="00E86030">
        <w:rPr>
          <w:rFonts w:ascii="Futura" w:eastAsia="Calibri" w:hAnsi="Futura" w:cs="Calibri"/>
          <w:color w:val="000000"/>
          <w:sz w:val="20"/>
          <w:szCs w:val="20"/>
          <w:lang w:bidi="en-US"/>
        </w:rPr>
        <w:t>months</w:t>
      </w:r>
      <w:r w:rsidRPr="00E86030">
        <w:rPr>
          <w:rFonts w:ascii="Futura" w:eastAsia="Calibri" w:hAnsi="Futura" w:cs="Calibri"/>
          <w:color w:val="000000"/>
          <w:sz w:val="20"/>
          <w:szCs w:val="20"/>
          <w:lang w:bidi="en-US"/>
        </w:rPr>
        <w:t xml:space="preserve"> or greater duration</w:t>
      </w:r>
    </w:p>
    <w:p w14:paraId="63D7624E" w14:textId="276E9845" w:rsidR="00E86030" w:rsidRPr="00E86030" w:rsidRDefault="00E86030" w:rsidP="006E6DD3">
      <w:pPr>
        <w:numPr>
          <w:ilvl w:val="4"/>
          <w:numId w:val="14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Parental hip fracture</w:t>
      </w:r>
    </w:p>
    <w:p w14:paraId="58E34884" w14:textId="77777777" w:rsidR="00E86030" w:rsidRPr="00E86030" w:rsidRDefault="00E86030" w:rsidP="007215D2">
      <w:pPr>
        <w:numPr>
          <w:ilvl w:val="4"/>
          <w:numId w:val="14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Personal history of fragility fracture or osteoporotic fracture</w:t>
      </w:r>
    </w:p>
    <w:p w14:paraId="2261C54C" w14:textId="77777777" w:rsidR="00E86030" w:rsidRPr="00E86030" w:rsidRDefault="00E86030" w:rsidP="007215D2">
      <w:pPr>
        <w:numPr>
          <w:ilvl w:val="4"/>
          <w:numId w:val="14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Rheumatoid arthritis (confirmed diagnosis)</w:t>
      </w:r>
    </w:p>
    <w:p w14:paraId="1BDACA2E"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338B0AD2" w14:textId="0811975E" w:rsidR="00E86030" w:rsidRPr="00E86030" w:rsidRDefault="002F58B6"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Patients are</w:t>
      </w:r>
      <w:r w:rsidR="00E86030" w:rsidRPr="00E86030">
        <w:rPr>
          <w:rFonts w:ascii="Futura" w:eastAsia="Calibri" w:hAnsi="Futura" w:cs="Calibri"/>
          <w:color w:val="000000"/>
          <w:sz w:val="20"/>
          <w:szCs w:val="20"/>
          <w:lang w:bidi="en-US"/>
        </w:rPr>
        <w:t xml:space="preserve"> not pregnant.</w:t>
      </w:r>
    </w:p>
    <w:p w14:paraId="782AF865" w14:textId="631A2B25"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Prevention of bone loss in male with prostate cancer, as indicated by </w:t>
      </w:r>
      <w:r w:rsidR="001F16EC"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2388404A"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50 years or older</w:t>
      </w:r>
    </w:p>
    <w:p w14:paraId="3D172BA1"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Bone mineral density T-score between -1.0 and -2.5</w:t>
      </w:r>
    </w:p>
    <w:p w14:paraId="3CF183AC" w14:textId="5A6FA160"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w:t>
      </w:r>
      <w:r w:rsidR="008378FA">
        <w:rPr>
          <w:rFonts w:ascii="Futura" w:eastAsia="Calibri" w:hAnsi="Futura" w:cs="Calibri"/>
          <w:color w:val="000000"/>
          <w:sz w:val="20"/>
          <w:szCs w:val="20"/>
          <w:lang w:bidi="en-US"/>
        </w:rPr>
        <w:t>s are</w:t>
      </w:r>
      <w:r w:rsidRPr="00E86030">
        <w:rPr>
          <w:rFonts w:ascii="Futura" w:eastAsia="Calibri" w:hAnsi="Futura" w:cs="Calibri"/>
          <w:color w:val="000000"/>
          <w:sz w:val="20"/>
          <w:szCs w:val="20"/>
          <w:lang w:bidi="en-US"/>
        </w:rPr>
        <w:t xml:space="preserve"> receiving androgen deprivation therapy</w:t>
      </w:r>
    </w:p>
    <w:p w14:paraId="18554291" w14:textId="51C3548E"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Risk factors for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19E7696E" w14:textId="77777777" w:rsidR="00E86030" w:rsidRPr="00E86030" w:rsidRDefault="00E86030" w:rsidP="007215D2">
      <w:pPr>
        <w:numPr>
          <w:ilvl w:val="3"/>
          <w:numId w:val="144"/>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Alcohol intake of 3 or more drinks per day</w:t>
      </w:r>
    </w:p>
    <w:p w14:paraId="49751910" w14:textId="77777777" w:rsidR="008378FA" w:rsidRDefault="00E86030" w:rsidP="005068C5">
      <w:pPr>
        <w:numPr>
          <w:ilvl w:val="3"/>
          <w:numId w:val="14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BMI less than 20</w:t>
      </w:r>
    </w:p>
    <w:p w14:paraId="4F3026A3" w14:textId="7C93B434" w:rsidR="00E86030" w:rsidRPr="00E86030" w:rsidRDefault="00E86030" w:rsidP="005068C5">
      <w:pPr>
        <w:numPr>
          <w:ilvl w:val="3"/>
          <w:numId w:val="14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Current cigarette use</w:t>
      </w:r>
    </w:p>
    <w:p w14:paraId="05470FD0" w14:textId="7CA882BB" w:rsidR="00E86030" w:rsidRPr="00E86030" w:rsidRDefault="00E86030" w:rsidP="007215D2">
      <w:pPr>
        <w:numPr>
          <w:ilvl w:val="3"/>
          <w:numId w:val="147"/>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xml:space="preserve">Glucocorticoid use of 3 </w:t>
      </w:r>
      <w:r w:rsidR="008378FA" w:rsidRPr="00E86030">
        <w:rPr>
          <w:rFonts w:ascii="Futura" w:eastAsia="Calibri" w:hAnsi="Futura" w:cs="Calibri"/>
          <w:color w:val="000000"/>
          <w:sz w:val="20"/>
          <w:szCs w:val="20"/>
          <w:lang w:bidi="en-US"/>
        </w:rPr>
        <w:t>months</w:t>
      </w:r>
      <w:r w:rsidRPr="00E86030">
        <w:rPr>
          <w:rFonts w:ascii="Futura" w:eastAsia="Calibri" w:hAnsi="Futura" w:cs="Calibri"/>
          <w:color w:val="000000"/>
          <w:sz w:val="20"/>
          <w:szCs w:val="20"/>
          <w:lang w:bidi="en-US"/>
        </w:rPr>
        <w:t xml:space="preserve"> or greater duration</w:t>
      </w:r>
    </w:p>
    <w:p w14:paraId="123654D0" w14:textId="77777777" w:rsidR="00E86030" w:rsidRPr="00E86030" w:rsidRDefault="00E86030" w:rsidP="007215D2">
      <w:pPr>
        <w:numPr>
          <w:ilvl w:val="3"/>
          <w:numId w:val="14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Multiple falls in previous 1 year</w:t>
      </w:r>
    </w:p>
    <w:p w14:paraId="49607685" w14:textId="77777777" w:rsidR="00E86030" w:rsidRPr="00E86030" w:rsidRDefault="00E86030" w:rsidP="007215D2">
      <w:pPr>
        <w:numPr>
          <w:ilvl w:val="3"/>
          <w:numId w:val="14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lastRenderedPageBreak/>
        <w:t>Parental hip fracture</w:t>
      </w:r>
    </w:p>
    <w:p w14:paraId="14AFA6AF" w14:textId="77777777" w:rsidR="00E86030" w:rsidRPr="00E86030" w:rsidRDefault="00E86030" w:rsidP="007215D2">
      <w:pPr>
        <w:numPr>
          <w:ilvl w:val="3"/>
          <w:numId w:val="150"/>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Personal history of fragility or osteoporotic fracture</w:t>
      </w:r>
    </w:p>
    <w:p w14:paraId="319A3D4D" w14:textId="77777777" w:rsidR="00E86030" w:rsidRPr="00E86030" w:rsidRDefault="00E86030" w:rsidP="007215D2">
      <w:pPr>
        <w:numPr>
          <w:ilvl w:val="3"/>
          <w:numId w:val="15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Rheumatoid arthritis (confirmed diagnosis)</w:t>
      </w:r>
    </w:p>
    <w:p w14:paraId="052E6F85"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6178EBCD" w14:textId="5D2C8E86"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Prevention of glucocorticoid-induced osteoporosis, as indicated by </w:t>
      </w:r>
      <w:r w:rsidR="008378FA"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76FAF0EF"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18 years or older</w:t>
      </w:r>
    </w:p>
    <w:p w14:paraId="13F9FC62" w14:textId="3875EB5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Moderate to high risk of fracture,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7854034E" w14:textId="55E708E8" w:rsidR="00E86030" w:rsidRPr="00E86030" w:rsidRDefault="00E86030" w:rsidP="007215D2">
      <w:pPr>
        <w:numPr>
          <w:ilvl w:val="3"/>
          <w:numId w:val="15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40 years or older and </w:t>
      </w:r>
      <w:r w:rsidR="008378FA"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4A0FC105" w14:textId="77777777" w:rsidR="00E86030" w:rsidRPr="00E86030" w:rsidRDefault="00E86030" w:rsidP="007215D2">
      <w:pPr>
        <w:numPr>
          <w:ilvl w:val="4"/>
          <w:numId w:val="15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Duration of glucocorticoid therapy expected to be 3 months or longer</w:t>
      </w:r>
    </w:p>
    <w:p w14:paraId="596CB60E" w14:textId="77777777" w:rsidR="00E86030" w:rsidRPr="00E86030" w:rsidRDefault="00E86030" w:rsidP="007215D2">
      <w:pPr>
        <w:numPr>
          <w:ilvl w:val="4"/>
          <w:numId w:val="154"/>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Glucocorticoid daily dose equivalent to 2.5 mg or greater of prednisone</w:t>
      </w:r>
    </w:p>
    <w:p w14:paraId="3A911DBD" w14:textId="77777777" w:rsidR="00E86030" w:rsidRPr="00E86030" w:rsidRDefault="00E86030" w:rsidP="007215D2">
      <w:pPr>
        <w:numPr>
          <w:ilvl w:val="4"/>
          <w:numId w:val="15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6C2EAFA7" w14:textId="061B5572" w:rsidR="00E86030" w:rsidRPr="00E86030" w:rsidRDefault="00E86030" w:rsidP="007215D2">
      <w:pPr>
        <w:numPr>
          <w:ilvl w:val="5"/>
          <w:numId w:val="15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for major osteoporotic fracture 10% or greater</w:t>
      </w:r>
    </w:p>
    <w:p w14:paraId="56158B42" w14:textId="00530FA8" w:rsidR="00E86030" w:rsidRPr="00E86030" w:rsidRDefault="00E86030" w:rsidP="007215D2">
      <w:pPr>
        <w:numPr>
          <w:ilvl w:val="5"/>
          <w:numId w:val="155"/>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Fracture Risk Assessment Tool (FRAX®) 10-year probability of hip fracture greater than country-specific threshold (</w:t>
      </w:r>
      <w:r w:rsidR="008378FA" w:rsidRPr="00E86030">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1% or greater in United States)</w:t>
      </w:r>
      <w:r w:rsidR="008378FA" w:rsidRPr="00E86030">
        <w:rPr>
          <w:rFonts w:ascii="Futura" w:eastAsia="Calibri" w:hAnsi="Futura" w:cs="Calibri"/>
          <w:color w:val="000000"/>
          <w:sz w:val="20"/>
          <w:szCs w:val="20"/>
          <w:lang w:bidi="en-US"/>
        </w:rPr>
        <w:t xml:space="preserve"> </w:t>
      </w:r>
    </w:p>
    <w:p w14:paraId="138C4AE8" w14:textId="5A753F05" w:rsidR="00E86030" w:rsidRPr="00E86030" w:rsidRDefault="00E86030" w:rsidP="007215D2">
      <w:pPr>
        <w:numPr>
          <w:ilvl w:val="3"/>
          <w:numId w:val="156"/>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younger than 40 years and </w:t>
      </w:r>
      <w:r w:rsidR="008378FA"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0822574A" w14:textId="77777777" w:rsidR="00E86030" w:rsidRPr="00E86030" w:rsidRDefault="00E86030" w:rsidP="007215D2">
      <w:pPr>
        <w:numPr>
          <w:ilvl w:val="4"/>
          <w:numId w:val="157"/>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Duration of glucocorticoid therapy expected to be 6 months or longer</w:t>
      </w:r>
    </w:p>
    <w:p w14:paraId="287B5D6B" w14:textId="77777777" w:rsidR="00E86030" w:rsidRPr="00E86030" w:rsidRDefault="00E86030" w:rsidP="007215D2">
      <w:pPr>
        <w:numPr>
          <w:ilvl w:val="4"/>
          <w:numId w:val="158"/>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Glucocorticoid daily dose equivalent to 7.5 mg or greater of prednisone</w:t>
      </w:r>
    </w:p>
    <w:p w14:paraId="1FBB99CE" w14:textId="77777777" w:rsidR="00E86030" w:rsidRPr="00E86030" w:rsidRDefault="00E86030" w:rsidP="007215D2">
      <w:pPr>
        <w:numPr>
          <w:ilvl w:val="4"/>
          <w:numId w:val="15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Bone mineral density testing, as indicated by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p>
    <w:p w14:paraId="7B0835B2" w14:textId="65F3F899" w:rsidR="00E86030" w:rsidRPr="00E86030" w:rsidRDefault="00E86030" w:rsidP="007215D2">
      <w:pPr>
        <w:numPr>
          <w:ilvl w:val="5"/>
          <w:numId w:val="15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Rapid bone loss (</w:t>
      </w:r>
      <w:r w:rsidR="008378FA" w:rsidRPr="00E86030">
        <w:rPr>
          <w:rFonts w:ascii="Futura" w:eastAsia="Calibri" w:hAnsi="Futura" w:cs="Calibri"/>
          <w:color w:val="000000"/>
          <w:sz w:val="20"/>
          <w:szCs w:val="20"/>
          <w:lang w:bidi="en-US"/>
        </w:rPr>
        <w:t>i.e.</w:t>
      </w:r>
      <w:r w:rsidRPr="00E86030">
        <w:rPr>
          <w:rFonts w:ascii="Futura" w:eastAsia="Calibri" w:hAnsi="Futura" w:cs="Calibri"/>
          <w:color w:val="000000"/>
          <w:sz w:val="20"/>
          <w:szCs w:val="20"/>
          <w:lang w:bidi="en-US"/>
        </w:rPr>
        <w:t>, 10% or greater decrease in spine or hip bone mineral density in 1 year)</w:t>
      </w:r>
    </w:p>
    <w:p w14:paraId="0500E0E8" w14:textId="77777777" w:rsidR="00E86030" w:rsidRPr="00E86030" w:rsidRDefault="00E86030" w:rsidP="007215D2">
      <w:pPr>
        <w:numPr>
          <w:ilvl w:val="5"/>
          <w:numId w:val="159"/>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Spine or total hip bone mineral density z score -3.0 or less</w:t>
      </w:r>
    </w:p>
    <w:p w14:paraId="0DC0E5D9"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No hypocalcemia at time of administration</w:t>
      </w:r>
    </w:p>
    <w:p w14:paraId="3C3E66D6" w14:textId="5C34E0D5" w:rsidR="00E86030" w:rsidRPr="00E86030" w:rsidRDefault="008378FA"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Patients are</w:t>
      </w:r>
      <w:r w:rsidR="00E86030" w:rsidRPr="00E86030">
        <w:rPr>
          <w:rFonts w:ascii="Futura" w:eastAsia="Calibri" w:hAnsi="Futura" w:cs="Calibri"/>
          <w:color w:val="000000"/>
          <w:sz w:val="20"/>
          <w:szCs w:val="20"/>
          <w:lang w:bidi="en-US"/>
        </w:rPr>
        <w:t xml:space="preserve"> not pregnant.</w:t>
      </w:r>
    </w:p>
    <w:p w14:paraId="40FBF1A4" w14:textId="6065A688" w:rsidR="00E86030" w:rsidRPr="00E86030" w:rsidRDefault="00E86030" w:rsidP="007215D2">
      <w:pPr>
        <w:numPr>
          <w:ilvl w:val="1"/>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 Prevention or treatment of skeletal-related events from multiple myeloma or cancer metastatic to bone, as indicated by </w:t>
      </w:r>
      <w:r w:rsidR="001F16EC" w:rsidRPr="00E86030">
        <w:rPr>
          <w:rFonts w:ascii="Futura" w:eastAsia="Calibri" w:hAnsi="Futura" w:cs="Calibri"/>
          <w:b/>
          <w:bCs/>
          <w:color w:val="000000"/>
          <w:sz w:val="20"/>
          <w:szCs w:val="20"/>
          <w:lang w:bidi="en-US"/>
        </w:rPr>
        <w:t>ALL</w:t>
      </w:r>
      <w:r w:rsidRPr="00E86030">
        <w:rPr>
          <w:rFonts w:ascii="Futura" w:eastAsia="Calibri" w:hAnsi="Futura" w:cs="Calibri"/>
          <w:color w:val="000000"/>
          <w:sz w:val="20"/>
          <w:szCs w:val="20"/>
          <w:lang w:bidi="en-US"/>
        </w:rPr>
        <w:t xml:space="preserve"> the following:</w:t>
      </w:r>
    </w:p>
    <w:p w14:paraId="1C71E883"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Age 18 years or older</w:t>
      </w:r>
    </w:p>
    <w:p w14:paraId="58F1AB73" w14:textId="77777777"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Hypocalcemia absent or treated with calcium and vitamin D as necessary</w:t>
      </w:r>
    </w:p>
    <w:p w14:paraId="4A4B4E04" w14:textId="2190A5C3" w:rsidR="00E86030" w:rsidRPr="00E86030" w:rsidRDefault="00E86030"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Osteolytic bone lesions or bone metastases from malignancy, including </w:t>
      </w:r>
      <w:r w:rsidRPr="00E86030">
        <w:rPr>
          <w:rFonts w:ascii="Futura" w:eastAsia="Calibri" w:hAnsi="Futura" w:cs="Calibri"/>
          <w:b/>
          <w:bCs/>
          <w:color w:val="000000"/>
          <w:sz w:val="20"/>
          <w:szCs w:val="20"/>
          <w:lang w:bidi="en-US"/>
        </w:rPr>
        <w:t>1 or more</w:t>
      </w:r>
      <w:r w:rsidRPr="00E86030">
        <w:rPr>
          <w:rFonts w:ascii="Futura" w:eastAsia="Calibri" w:hAnsi="Futura" w:cs="Calibri"/>
          <w:color w:val="000000"/>
          <w:sz w:val="20"/>
          <w:szCs w:val="20"/>
          <w:lang w:bidi="en-US"/>
        </w:rPr>
        <w:t> of the following</w:t>
      </w:r>
      <w:bookmarkStart w:id="30" w:name="cl_c_216"/>
      <w:bookmarkEnd w:id="30"/>
      <w:r w:rsidRPr="00E86030">
        <w:rPr>
          <w:rFonts w:ascii="Futura" w:eastAsia="Calibri" w:hAnsi="Futura" w:cs="Calibri"/>
          <w:color w:val="000000"/>
          <w:sz w:val="20"/>
          <w:szCs w:val="20"/>
          <w:lang w:bidi="en-US"/>
        </w:rPr>
        <w:t>:</w:t>
      </w:r>
    </w:p>
    <w:p w14:paraId="082965A3" w14:textId="77777777" w:rsidR="00492153" w:rsidRDefault="00E86030" w:rsidP="00D73EA8">
      <w:pPr>
        <w:numPr>
          <w:ilvl w:val="3"/>
          <w:numId w:val="16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Breast cancer</w:t>
      </w:r>
      <w:bookmarkStart w:id="31" w:name="cl_c_218"/>
      <w:bookmarkEnd w:id="31"/>
    </w:p>
    <w:p w14:paraId="0FD9BBDE" w14:textId="372CDF7A" w:rsidR="00E86030" w:rsidRPr="00E86030" w:rsidRDefault="00E86030" w:rsidP="00D73EA8">
      <w:pPr>
        <w:numPr>
          <w:ilvl w:val="3"/>
          <w:numId w:val="161"/>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Multiple myeloma</w:t>
      </w:r>
      <w:bookmarkStart w:id="32" w:name="cl_c_221"/>
      <w:bookmarkEnd w:id="32"/>
    </w:p>
    <w:p w14:paraId="0910C136" w14:textId="77777777" w:rsidR="00492153" w:rsidRDefault="00E86030" w:rsidP="00845CA5">
      <w:pPr>
        <w:numPr>
          <w:ilvl w:val="3"/>
          <w:numId w:val="163"/>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Prostate cancer</w:t>
      </w:r>
      <w:bookmarkStart w:id="33" w:name="cl_c_225"/>
      <w:bookmarkEnd w:id="33"/>
    </w:p>
    <w:p w14:paraId="1D359C9E" w14:textId="77777777" w:rsidR="00492153" w:rsidRDefault="00E86030" w:rsidP="009A4C5A">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Other solid tumors (</w:t>
      </w:r>
      <w:r w:rsidR="00492153" w:rsidRPr="00492153">
        <w:rPr>
          <w:rFonts w:ascii="Futura" w:eastAsia="Calibri" w:hAnsi="Futura" w:cs="Calibri"/>
          <w:color w:val="000000"/>
          <w:sz w:val="20"/>
          <w:szCs w:val="20"/>
          <w:lang w:bidi="en-US"/>
        </w:rPr>
        <w:t>e.g.</w:t>
      </w:r>
      <w:r w:rsidRPr="00E86030">
        <w:rPr>
          <w:rFonts w:ascii="Futura" w:eastAsia="Calibri" w:hAnsi="Futura" w:cs="Calibri"/>
          <w:color w:val="000000"/>
          <w:sz w:val="20"/>
          <w:szCs w:val="20"/>
          <w:lang w:bidi="en-US"/>
        </w:rPr>
        <w:t>, lung or renal cancer)</w:t>
      </w:r>
    </w:p>
    <w:p w14:paraId="206E4C90" w14:textId="40306F96" w:rsidR="00E86030" w:rsidRPr="00E86030" w:rsidRDefault="00E86030" w:rsidP="009A4C5A">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Standard antineoplastic therapy continues.</w:t>
      </w:r>
    </w:p>
    <w:p w14:paraId="427C0009" w14:textId="62621B43" w:rsidR="00E86030" w:rsidRPr="00E86030" w:rsidRDefault="00492153" w:rsidP="007215D2">
      <w:pPr>
        <w:numPr>
          <w:ilvl w:val="2"/>
          <w:numId w:val="102"/>
        </w:numPr>
        <w:spacing w:after="0" w:line="240" w:lineRule="auto"/>
        <w:jc w:val="both"/>
        <w:rPr>
          <w:rFonts w:ascii="Futura" w:eastAsia="Calibri" w:hAnsi="Futura" w:cs="Calibri"/>
          <w:color w:val="000000"/>
          <w:sz w:val="20"/>
          <w:szCs w:val="20"/>
          <w:lang w:bidi="en-US"/>
        </w:rPr>
      </w:pPr>
      <w:r w:rsidRPr="00E86030">
        <w:rPr>
          <w:rFonts w:ascii="Futura" w:eastAsia="Calibri" w:hAnsi="Futura" w:cs="Calibri"/>
          <w:color w:val="000000"/>
          <w:sz w:val="20"/>
          <w:szCs w:val="20"/>
          <w:lang w:bidi="en-US"/>
        </w:rPr>
        <w:t>Patients are</w:t>
      </w:r>
      <w:r w:rsidR="00E86030" w:rsidRPr="00E86030">
        <w:rPr>
          <w:rFonts w:ascii="Futura" w:eastAsia="Calibri" w:hAnsi="Futura" w:cs="Calibri"/>
          <w:color w:val="000000"/>
          <w:sz w:val="20"/>
          <w:szCs w:val="20"/>
          <w:lang w:bidi="en-US"/>
        </w:rPr>
        <w:t xml:space="preserve"> not pregnant.</w:t>
      </w:r>
    </w:p>
    <w:p w14:paraId="2019F26C" w14:textId="77777777" w:rsidR="00E86030" w:rsidRPr="007A34FE" w:rsidRDefault="00E86030" w:rsidP="00214EAB">
      <w:pPr>
        <w:spacing w:after="0" w:line="240" w:lineRule="auto"/>
        <w:jc w:val="both"/>
        <w:rPr>
          <w:rFonts w:ascii="Futura" w:eastAsia="Calibri" w:hAnsi="Futura" w:cs="Calibri"/>
          <w:color w:val="000000"/>
          <w:sz w:val="20"/>
          <w:szCs w:val="20"/>
          <w:lang w:bidi="en-US"/>
        </w:rPr>
      </w:pPr>
    </w:p>
    <w:p w14:paraId="58662BB4" w14:textId="77777777" w:rsidR="00BB1A47" w:rsidRDefault="00BB1A47" w:rsidP="00BB1A47">
      <w:pPr>
        <w:spacing w:after="0" w:line="240" w:lineRule="auto"/>
        <w:jc w:val="both"/>
        <w:rPr>
          <w:rFonts w:ascii="Futura" w:eastAsia="Calibri" w:hAnsi="Futura" w:cs="Calibri"/>
          <w:color w:val="000000"/>
          <w:sz w:val="20"/>
          <w:szCs w:val="20"/>
          <w:lang w:bidi="en-US"/>
        </w:rPr>
      </w:pPr>
    </w:p>
    <w:p w14:paraId="660CE0B9" w14:textId="32434FDC"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 xml:space="preserve">For adjuvant treatment of breast cancer, evidence demonstrates a net benefit, but of less than moderate certainty, and may consist of a consensus opinion of experts, case studies, and common standard care.  A meta-analysis of 26 randomized controlled trials including 18,766 patients concluded that for women with early breast cancer, adjuvant bisphosphonate therapy had minimal effect on 10-year disease outcomes in premenopausal women. However, in postmenopausal women, treatment was associated with reduction in recurrence, distant </w:t>
      </w:r>
      <w:r w:rsidRPr="00C20339">
        <w:rPr>
          <w:rFonts w:ascii="Futura" w:eastAsia="Calibri" w:hAnsi="Futura" w:cs="Calibri"/>
          <w:color w:val="000000"/>
          <w:sz w:val="20"/>
          <w:szCs w:val="20"/>
          <w:lang w:bidi="en-US"/>
        </w:rPr>
        <w:lastRenderedPageBreak/>
        <w:t>recurrence, bone recurrence, and breast cancer mortality at 10 years</w:t>
      </w:r>
      <w:r w:rsidR="00492153">
        <w:rPr>
          <w:rFonts w:ascii="Futura" w:eastAsia="Calibri" w:hAnsi="Futura" w:cs="Calibri"/>
          <w:color w:val="000000"/>
          <w:sz w:val="20"/>
          <w:szCs w:val="20"/>
          <w:lang w:bidi="en-US"/>
        </w:rPr>
        <w:t xml:space="preserve">.  </w:t>
      </w:r>
      <w:r w:rsidRPr="00C20339">
        <w:rPr>
          <w:rFonts w:ascii="Futura" w:eastAsia="Calibri" w:hAnsi="Futura" w:cs="Calibri"/>
          <w:color w:val="000000"/>
          <w:sz w:val="20"/>
          <w:szCs w:val="20"/>
          <w:lang w:bidi="en-US"/>
        </w:rPr>
        <w:t>Two specialty society consensus statements recommend bisphosphonates as adjuvant therapy for breast cancer in postmenopausal women and for premenopausal women receiving ovarian suppression.</w:t>
      </w:r>
      <w:bookmarkStart w:id="34" w:name="cl_c_43"/>
      <w:bookmarkEnd w:id="34"/>
      <w:r w:rsidRPr="00C20339">
        <w:rPr>
          <w:rFonts w:ascii="Futura" w:eastAsia="Calibri" w:hAnsi="Futura" w:cs="Calibri"/>
          <w:color w:val="000000"/>
          <w:sz w:val="20"/>
          <w:szCs w:val="20"/>
          <w:lang w:bidi="en-US"/>
        </w:rPr>
        <w:t> Another specialty society guideline recommends that bisphosphonate therapy, including zoledronic acid, be considered as adjuvant therapy for postmenopausal patients with breast cancer who are deemed candidates for adjuvant systemic therapy. An expert consensus guideline recommends routine use of a bisphosphonate (zoledronic acid or clodronate) for postmenopausal women with early-stage breast cancer and zoledronic acid for premenopausal women with early-stage estrogen receptor-positive breast cancer receiving gonadotropin-releasing hormone (GnRH) agonist therapy.</w:t>
      </w:r>
    </w:p>
    <w:p w14:paraId="5FD32C17" w14:textId="77777777" w:rsidR="00955626" w:rsidRPr="00C20339" w:rsidRDefault="00955626" w:rsidP="00C20339">
      <w:pPr>
        <w:spacing w:after="0" w:line="240" w:lineRule="auto"/>
        <w:jc w:val="both"/>
        <w:rPr>
          <w:rFonts w:ascii="Futura" w:eastAsia="Calibri" w:hAnsi="Futura" w:cs="Calibri"/>
          <w:color w:val="000000"/>
          <w:sz w:val="20"/>
          <w:szCs w:val="20"/>
          <w:lang w:bidi="en-US"/>
        </w:rPr>
      </w:pPr>
    </w:p>
    <w:p w14:paraId="1715FB71" w14:textId="1D1C11FA"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hypercalcemia of malignancy, evidence demonstrates at least moderate certainty of at least moderate net benefit.  Intravenous bisphosphonates are considered a first-line therapy for hypercalcemia of malignancy, with zoledronic acid being a preferred agent given its effectiveness after a brief period of infusion.</w:t>
      </w:r>
      <w:bookmarkStart w:id="35" w:name="cl_c_55"/>
      <w:bookmarkEnd w:id="35"/>
    </w:p>
    <w:p w14:paraId="30F8B239" w14:textId="77777777" w:rsidR="00955626" w:rsidRPr="00C20339" w:rsidRDefault="00955626" w:rsidP="00C20339">
      <w:pPr>
        <w:spacing w:after="0" w:line="240" w:lineRule="auto"/>
        <w:jc w:val="both"/>
        <w:rPr>
          <w:rFonts w:ascii="Futura" w:eastAsia="Calibri" w:hAnsi="Futura" w:cs="Calibri"/>
          <w:color w:val="000000"/>
          <w:sz w:val="20"/>
          <w:szCs w:val="20"/>
          <w:lang w:bidi="en-US"/>
        </w:rPr>
      </w:pPr>
    </w:p>
    <w:p w14:paraId="415BD68C" w14:textId="4CD88936"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osteopenia, evidence demonstrates a net benefit, but of less than moderate certainty, and may consist of a consensus opinion of experts, case studies, and common standard care.  A randomized double-blind trial of 2000 women with osteopenia (defined as a T-score of -1.0 to -2.5 in one hip or femoral neck) age 65 years or older found that, at 6-year follow-up, treatment with zoledronic acid administered at 18-month intervals significantly reduced the risk of nonvertebral and vertebral fragility fractures compared with placebo.</w:t>
      </w:r>
      <w:bookmarkStart w:id="36" w:name="cl_c_62"/>
      <w:bookmarkEnd w:id="36"/>
      <w:r w:rsidRPr="00C20339">
        <w:rPr>
          <w:rFonts w:ascii="Futura" w:eastAsia="Calibri" w:hAnsi="Futura" w:cs="Calibri"/>
          <w:color w:val="000000"/>
          <w:sz w:val="20"/>
          <w:szCs w:val="20"/>
          <w:lang w:bidi="en-US"/>
        </w:rPr>
        <w:t> A specialty society practice guideline recommends pharmacologic therapy for patients with osteopenia or low bone mass and a history of fragility fracture of the hip or spine.</w:t>
      </w:r>
    </w:p>
    <w:p w14:paraId="75E80C59" w14:textId="77777777" w:rsidR="00955626" w:rsidRPr="00C20339" w:rsidRDefault="00955626" w:rsidP="00C20339">
      <w:pPr>
        <w:spacing w:after="0" w:line="240" w:lineRule="auto"/>
        <w:jc w:val="both"/>
        <w:rPr>
          <w:rFonts w:ascii="Futura" w:eastAsia="Calibri" w:hAnsi="Futura" w:cs="Calibri"/>
          <w:color w:val="000000"/>
          <w:sz w:val="20"/>
          <w:szCs w:val="20"/>
          <w:lang w:bidi="en-US"/>
        </w:rPr>
      </w:pPr>
    </w:p>
    <w:p w14:paraId="7B42910C" w14:textId="5A5B4D3D"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osteoporosis, evidence demonstrates at least moderate certainty of at least moderate net benefit.  The oral bisphosphonates alendronate, ibandronate, and risedronate are effective first-line options for treatment of osteoporosis. Intravenous bisphosphonates are appropriate for women and men with gastrointestinal intolerance to oral bisphosphonates.</w:t>
      </w:r>
      <w:bookmarkStart w:id="37" w:name="cl_c_84"/>
      <w:bookmarkEnd w:id="37"/>
      <w:r w:rsidRPr="00C20339">
        <w:rPr>
          <w:rFonts w:ascii="Futura" w:eastAsia="Calibri" w:hAnsi="Futura" w:cs="Calibri"/>
          <w:color w:val="000000"/>
          <w:sz w:val="20"/>
          <w:szCs w:val="20"/>
          <w:lang w:bidi="en-US"/>
        </w:rPr>
        <w:t xml:space="preserve"> However, many patients </w:t>
      </w:r>
      <w:r w:rsidR="008D6C1A" w:rsidRPr="00C20339">
        <w:rPr>
          <w:rFonts w:ascii="Futura" w:eastAsia="Calibri" w:hAnsi="Futura" w:cs="Calibri"/>
          <w:color w:val="000000"/>
          <w:sz w:val="20"/>
          <w:szCs w:val="20"/>
          <w:lang w:bidi="en-US"/>
        </w:rPr>
        <w:t>can</w:t>
      </w:r>
      <w:r w:rsidRPr="00C20339">
        <w:rPr>
          <w:rFonts w:ascii="Futura" w:eastAsia="Calibri" w:hAnsi="Futura" w:cs="Calibri"/>
          <w:color w:val="000000"/>
          <w:sz w:val="20"/>
          <w:szCs w:val="20"/>
          <w:lang w:bidi="en-US"/>
        </w:rPr>
        <w:t xml:space="preserve"> tolerate a weekly or monthly dosing regimen of the oral agents, even with intolerance to daily dosing. Expert reviews of randomized trials have concluded that zoledronic acid is effective for reducing the incidence of hip, vertebral, and nonvertebral fractures in postmenopausal women. A long-term extension of a randomized placebo-controlled clinical trial of zoledronic acid for postmenopausal women with osteoporosis reported a reduction in new vertebral fractures after 6 years of annual zoledronic acid as compared with those treated for 3 years.</w:t>
      </w:r>
      <w:bookmarkStart w:id="38" w:name="cl_c_92"/>
      <w:bookmarkEnd w:id="38"/>
      <w:r w:rsidRPr="00C20339">
        <w:rPr>
          <w:rFonts w:ascii="Futura" w:eastAsia="Calibri" w:hAnsi="Futura" w:cs="Calibri"/>
          <w:color w:val="000000"/>
          <w:sz w:val="20"/>
          <w:szCs w:val="20"/>
          <w:lang w:bidi="en-US"/>
        </w:rPr>
        <w:t> Similarly, expert reviews have reported that ibandronate is effective in reducing the risk of vertebral fracture in patients with osteoporosis.</w:t>
      </w:r>
      <w:bookmarkStart w:id="39" w:name="cl_c_93"/>
      <w:bookmarkEnd w:id="39"/>
      <w:r w:rsidRPr="00C20339">
        <w:rPr>
          <w:rFonts w:ascii="Futura" w:eastAsia="Calibri" w:hAnsi="Futura" w:cs="Calibri"/>
          <w:color w:val="000000"/>
          <w:sz w:val="20"/>
          <w:szCs w:val="20"/>
          <w:lang w:bidi="en-US"/>
        </w:rPr>
        <w:t> Longer-term studies reported that ibandronate administration for over 5 years is well tolerated and effective in improving bone mineral density in the lumbar spine in women with postmenopausal osteoporosis.</w:t>
      </w:r>
      <w:bookmarkStart w:id="40" w:name="cl_c_95"/>
      <w:bookmarkEnd w:id="40"/>
      <w:r w:rsidRPr="00C20339">
        <w:rPr>
          <w:rFonts w:ascii="Futura" w:eastAsia="Calibri" w:hAnsi="Futura" w:cs="Calibri"/>
          <w:color w:val="000000"/>
          <w:sz w:val="20"/>
          <w:szCs w:val="20"/>
          <w:lang w:bidi="en-US"/>
        </w:rPr>
        <w:t> A systematic review and network meta-analysis of 107 studies (193,987 postmenopausal women with primary osteoporosis or osteopenia) evaluating the comparative effectiveness of medications used to prevent fragility fractures found that, compared with placebo, zoledronic acid was associated with a significant reduction in hip fractures, nonvertebral fractures, and vertebral fractures. The authors identified the risk of bias in the included studies and the paucity of head-to-head trials as major study limitations.</w:t>
      </w:r>
      <w:bookmarkStart w:id="41" w:name="cl_c_97"/>
      <w:bookmarkEnd w:id="41"/>
      <w:r w:rsidRPr="00C20339">
        <w:rPr>
          <w:rFonts w:ascii="Futura" w:eastAsia="Calibri" w:hAnsi="Futura" w:cs="Calibri"/>
          <w:color w:val="000000"/>
          <w:sz w:val="20"/>
          <w:szCs w:val="20"/>
          <w:lang w:bidi="en-US"/>
        </w:rPr>
        <w:t> A multicenter, double-blind, randomized, placebo-controlled trial of 1199 men with osteoporosis reported that treatment with zoledronic acid was associated with a significantly reduced risk of vertebral fracture.</w:t>
      </w:r>
      <w:bookmarkStart w:id="42" w:name="cl_c_98"/>
      <w:bookmarkEnd w:id="42"/>
      <w:r w:rsidRPr="00C20339">
        <w:rPr>
          <w:rFonts w:ascii="Futura" w:eastAsia="Calibri" w:hAnsi="Futura" w:cs="Calibri"/>
          <w:color w:val="000000"/>
          <w:sz w:val="20"/>
          <w:szCs w:val="20"/>
          <w:lang w:bidi="en-US"/>
        </w:rPr>
        <w:t> Review articles also indicate that zoledronic acid is effective in reducing nonvertebral fracture in the setting of primary osteoporosis in men.</w:t>
      </w:r>
      <w:bookmarkStart w:id="43" w:name="cl_c_99"/>
      <w:bookmarkEnd w:id="43"/>
      <w:r w:rsidRPr="00C20339">
        <w:rPr>
          <w:rFonts w:ascii="Futura" w:eastAsia="Calibri" w:hAnsi="Futura" w:cs="Calibri"/>
          <w:color w:val="000000"/>
          <w:sz w:val="20"/>
          <w:szCs w:val="20"/>
          <w:lang w:bidi="en-US"/>
        </w:rPr>
        <w:t> For patients with known primary osteoporosis, a clinical practice guideline and systematic review recommended treatment with bisphosphonates to reduce the risk of fractures in males and postmenopausal females.</w:t>
      </w:r>
      <w:bookmarkStart w:id="44" w:name="cl_c_101"/>
      <w:bookmarkEnd w:id="44"/>
      <w:r w:rsidRPr="00C20339">
        <w:rPr>
          <w:rFonts w:ascii="Futura" w:eastAsia="Calibri" w:hAnsi="Futura" w:cs="Calibri"/>
          <w:color w:val="000000"/>
          <w:sz w:val="20"/>
          <w:szCs w:val="20"/>
          <w:lang w:bidi="en-US"/>
        </w:rPr>
        <w:t xml:space="preserve"> A systematic review and meta-analysis of 27 studies including 3075 adults with chronic inflammatory disease requiring glucocorticoid administration found moderate to strong evidence that bisphosphonate administration, for up to 24 months, is effective in preventing new vertebral fractures and in reducing bone loss at the lumbar spine and femoral neck; only weak evidence </w:t>
      </w:r>
      <w:r w:rsidRPr="00C20339">
        <w:rPr>
          <w:rFonts w:ascii="Futura" w:eastAsia="Calibri" w:hAnsi="Futura" w:cs="Calibri"/>
          <w:color w:val="000000"/>
          <w:sz w:val="20"/>
          <w:szCs w:val="20"/>
          <w:lang w:bidi="en-US"/>
        </w:rPr>
        <w:lastRenderedPageBreak/>
        <w:t>was found suggesting that bisphosphonates may prevent nonvertebral fractures.</w:t>
      </w:r>
      <w:bookmarkStart w:id="45" w:name="cl_c_102"/>
      <w:bookmarkEnd w:id="45"/>
      <w:r w:rsidRPr="00C20339">
        <w:rPr>
          <w:rFonts w:ascii="Futura" w:eastAsia="Calibri" w:hAnsi="Futura" w:cs="Calibri"/>
          <w:color w:val="000000"/>
          <w:sz w:val="20"/>
          <w:szCs w:val="20"/>
          <w:lang w:bidi="en-US"/>
        </w:rPr>
        <w:t> With regard specifically to corticosteroid therapy for Duchenne muscular dystrophy, another systematic review and meta-analysis did not find significant evidence that bisphosphonates clearly prevented or treated osteoporosis or fragility fractures in adults and children with this condition; the authors stated that additional trials are necessary.</w:t>
      </w:r>
      <w:bookmarkStart w:id="46" w:name="cl_c_103"/>
      <w:bookmarkEnd w:id="46"/>
    </w:p>
    <w:p w14:paraId="045A54C0" w14:textId="77777777" w:rsidR="006D1B04" w:rsidRPr="00C20339" w:rsidRDefault="006D1B04" w:rsidP="00C20339">
      <w:pPr>
        <w:spacing w:after="0" w:line="240" w:lineRule="auto"/>
        <w:jc w:val="both"/>
        <w:rPr>
          <w:rFonts w:ascii="Futura" w:eastAsia="Calibri" w:hAnsi="Futura" w:cs="Calibri"/>
          <w:color w:val="000000"/>
          <w:sz w:val="20"/>
          <w:szCs w:val="20"/>
          <w:lang w:bidi="en-US"/>
        </w:rPr>
      </w:pPr>
    </w:p>
    <w:p w14:paraId="43C3718B" w14:textId="3438DB31"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Paget disease of bone, evidence demonstrates at least moderate certainty of at least moderate net benefit.  A systematic review and meta-analysis of 20 studies concluded that bisphosphonates improve pain in patients with Paget disease of bone compared with placebo.</w:t>
      </w:r>
      <w:bookmarkStart w:id="47" w:name="cl_c_135"/>
      <w:bookmarkEnd w:id="47"/>
      <w:r w:rsidRPr="00C20339">
        <w:rPr>
          <w:rFonts w:ascii="Futura" w:eastAsia="Calibri" w:hAnsi="Futura" w:cs="Calibri"/>
          <w:color w:val="000000"/>
          <w:sz w:val="20"/>
          <w:szCs w:val="20"/>
          <w:lang w:bidi="en-US"/>
        </w:rPr>
        <w:t> Intravenous bisphosphonates have been demonstrated to significantly increase bone mineral density and decrease serum bone turnover markers from baseline in patients with Paget disease of bone.</w:t>
      </w:r>
      <w:bookmarkStart w:id="48" w:name="cl_c_136"/>
      <w:bookmarkEnd w:id="48"/>
      <w:r w:rsidRPr="00C20339">
        <w:rPr>
          <w:rFonts w:ascii="Futura" w:eastAsia="Calibri" w:hAnsi="Futura" w:cs="Calibri"/>
          <w:color w:val="000000"/>
          <w:sz w:val="20"/>
          <w:szCs w:val="20"/>
          <w:lang w:bidi="en-US"/>
        </w:rPr>
        <w:t> A retrospective review suggests that a single dose may be effective for as long as 6 years.</w:t>
      </w:r>
      <w:bookmarkStart w:id="49" w:name="cl_c_138"/>
      <w:bookmarkEnd w:id="49"/>
      <w:r w:rsidRPr="00C20339">
        <w:rPr>
          <w:rFonts w:ascii="Futura" w:eastAsia="Calibri" w:hAnsi="Futura" w:cs="Calibri"/>
          <w:color w:val="000000"/>
          <w:sz w:val="20"/>
          <w:szCs w:val="20"/>
          <w:lang w:bidi="en-US"/>
        </w:rPr>
        <w:t> A specialty society guideline states that bisphosphonates are associated with improved bone pain in patients with Paget disease of bone, with the greatest likelihood of improvement with zoledronic acid. The authors note that bisphosphonates may be used for suppression of metabolic activity in Paget disease of bone but that the clinical benefit is uncertain.</w:t>
      </w:r>
      <w:bookmarkStart w:id="50" w:name="cl_c_139"/>
      <w:bookmarkEnd w:id="50"/>
    </w:p>
    <w:p w14:paraId="4CB2EC2D" w14:textId="77777777" w:rsidR="006D1B04" w:rsidRPr="00C20339" w:rsidRDefault="006D1B04" w:rsidP="00C20339">
      <w:pPr>
        <w:spacing w:after="0" w:line="240" w:lineRule="auto"/>
        <w:jc w:val="both"/>
        <w:rPr>
          <w:rFonts w:ascii="Futura" w:eastAsia="Calibri" w:hAnsi="Futura" w:cs="Calibri"/>
          <w:color w:val="000000"/>
          <w:sz w:val="20"/>
          <w:szCs w:val="20"/>
          <w:lang w:bidi="en-US"/>
        </w:rPr>
      </w:pPr>
    </w:p>
    <w:p w14:paraId="3BE7C8D3" w14:textId="789A5965" w:rsid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prevention of osteoporosis, evidence demonstrates at least moderate certainty of at least moderate net benefit.  Studies confirm that zoledronic acid is effective, as compared with placebo, at significantly increasing bone mineral density in postmenopausal women.</w:t>
      </w:r>
      <w:bookmarkStart w:id="51" w:name="cl_c_142"/>
      <w:bookmarkEnd w:id="51"/>
      <w:r w:rsidRPr="00C20339">
        <w:rPr>
          <w:rFonts w:ascii="Futura" w:eastAsia="Calibri" w:hAnsi="Futura" w:cs="Calibri"/>
          <w:color w:val="000000"/>
          <w:sz w:val="20"/>
          <w:szCs w:val="20"/>
          <w:lang w:bidi="en-US"/>
        </w:rPr>
        <w:t> Review articles and expert guidelines based on systematic reviews recommend treatment with oral or intravenous bisphosphonates for postmenopausal women with breast cancer treated with aromatase inhibitors who have risk factors for fracture.</w:t>
      </w:r>
      <w:bookmarkStart w:id="52" w:name="cl_c_145"/>
      <w:bookmarkEnd w:id="52"/>
      <w:r w:rsidRPr="00C20339">
        <w:rPr>
          <w:rFonts w:ascii="Futura" w:eastAsia="Calibri" w:hAnsi="Futura" w:cs="Calibri"/>
          <w:color w:val="000000"/>
          <w:sz w:val="20"/>
          <w:szCs w:val="20"/>
          <w:lang w:bidi="en-US"/>
        </w:rPr>
        <w:t> Follow-up for as long as 5 years has demonstrated that zoledronic acid use is associated with a mean lumbar spine bone mineral density increase of 5% in such patients.</w:t>
      </w:r>
      <w:bookmarkStart w:id="53" w:name="cl_c_149"/>
      <w:bookmarkEnd w:id="53"/>
      <w:r w:rsidRPr="00C20339">
        <w:rPr>
          <w:rFonts w:ascii="Futura" w:eastAsia="Calibri" w:hAnsi="Futura" w:cs="Calibri"/>
          <w:color w:val="000000"/>
          <w:sz w:val="20"/>
          <w:szCs w:val="20"/>
          <w:lang w:bidi="en-US"/>
        </w:rPr>
        <w:t> Systematic reviews and other review articles indicate that there may also be a beneficial effect upon survival.</w:t>
      </w:r>
      <w:bookmarkStart w:id="54" w:name="cl_c_150"/>
      <w:bookmarkEnd w:id="54"/>
      <w:r w:rsidRPr="00C20339">
        <w:rPr>
          <w:rFonts w:ascii="Futura" w:eastAsia="Calibri" w:hAnsi="Futura" w:cs="Calibri"/>
          <w:color w:val="000000"/>
          <w:sz w:val="20"/>
          <w:szCs w:val="20"/>
          <w:lang w:bidi="en-US"/>
        </w:rPr>
        <w:t> Expert consensus guidelines recommend bisphosphonates for men with a high probability of osteoporotic fracture, such as those with prostate cancer who have been treated with androgen deprivation therapy.</w:t>
      </w:r>
      <w:bookmarkStart w:id="55" w:name="cl_c_152"/>
      <w:bookmarkEnd w:id="55"/>
      <w:r w:rsidRPr="00C20339">
        <w:rPr>
          <w:rFonts w:ascii="Futura" w:eastAsia="Calibri" w:hAnsi="Futura" w:cs="Calibri"/>
          <w:color w:val="000000"/>
          <w:sz w:val="20"/>
          <w:szCs w:val="20"/>
          <w:lang w:bidi="en-US"/>
        </w:rPr>
        <w:t> A systematic review and meta-analysis of 15 randomized placebo-controlled trials, including 2634 men with a mean age of 70 years treated with androgen deprivation therapy for prostate cancer, reported that the number needed to treat with zoledronic acid was 14.9 for prevention of any fracture and 17.5 for prevention of nonvertebral fracture.</w:t>
      </w:r>
      <w:bookmarkStart w:id="56" w:name="cl_c_154"/>
      <w:bookmarkEnd w:id="56"/>
      <w:r w:rsidRPr="00C20339">
        <w:rPr>
          <w:rFonts w:ascii="Futura" w:eastAsia="Calibri" w:hAnsi="Futura" w:cs="Calibri"/>
          <w:color w:val="000000"/>
          <w:sz w:val="20"/>
          <w:szCs w:val="20"/>
          <w:lang w:bidi="en-US"/>
        </w:rPr>
        <w:t> A meta-analysis of 2 systematic reviews and 27 randomized trials evaluating bone-targeted therapies for nonmetastatic prostate cancer concluded that bisphosphonates were effective in increasing bone mineral density; however, the trials were not sufficiently powered to detect a reduction in fractures.</w:t>
      </w:r>
      <w:bookmarkStart w:id="57" w:name="cl_c_155"/>
      <w:bookmarkEnd w:id="57"/>
      <w:r w:rsidRPr="00C20339">
        <w:rPr>
          <w:rFonts w:ascii="Futura" w:eastAsia="Calibri" w:hAnsi="Futura" w:cs="Calibri"/>
          <w:color w:val="000000"/>
          <w:sz w:val="20"/>
          <w:szCs w:val="20"/>
          <w:lang w:bidi="en-US"/>
        </w:rPr>
        <w:t> A clinical practice guideline based on a systematic review stated that zoledronic acid is effective in improving bone mineral density in men with prostate cancer who receive androgen deprivation therapy.</w:t>
      </w:r>
      <w:bookmarkStart w:id="58" w:name="cl_c_156"/>
      <w:bookmarkEnd w:id="58"/>
      <w:r w:rsidRPr="00C20339">
        <w:rPr>
          <w:rFonts w:ascii="Futura" w:eastAsia="Calibri" w:hAnsi="Futura" w:cs="Calibri"/>
          <w:color w:val="000000"/>
          <w:sz w:val="20"/>
          <w:szCs w:val="20"/>
          <w:lang w:bidi="en-US"/>
        </w:rPr>
        <w:t> A specialty society guideline states that patients who are receiving chronic glucocorticoid therapy, defined as a daily dose equivalent of 2.5 mg or more of prednisone for 3 or more months, should be risk-stratified for fracture risk.</w:t>
      </w:r>
      <w:bookmarkStart w:id="59" w:name="cl_c_158"/>
      <w:bookmarkEnd w:id="59"/>
      <w:r w:rsidRPr="00C20339">
        <w:rPr>
          <w:rFonts w:ascii="Futura" w:eastAsia="Calibri" w:hAnsi="Futura" w:cs="Calibri"/>
          <w:color w:val="000000"/>
          <w:sz w:val="20"/>
          <w:szCs w:val="20"/>
          <w:lang w:bidi="en-US"/>
        </w:rPr>
        <w:t xml:space="preserve"> Patients at moderate to high risk of fracture should be treated with medication to prevent osteoporosis, </w:t>
      </w:r>
      <w:r w:rsidR="0034336B" w:rsidRPr="00C20339">
        <w:rPr>
          <w:rFonts w:ascii="Futura" w:eastAsia="Calibri" w:hAnsi="Futura" w:cs="Calibri"/>
          <w:color w:val="000000"/>
          <w:sz w:val="20"/>
          <w:szCs w:val="20"/>
          <w:lang w:bidi="en-US"/>
        </w:rPr>
        <w:t>including</w:t>
      </w:r>
      <w:r w:rsidRPr="00C20339">
        <w:rPr>
          <w:rFonts w:ascii="Futura" w:eastAsia="Calibri" w:hAnsi="Futura" w:cs="Calibri"/>
          <w:color w:val="000000"/>
          <w:sz w:val="20"/>
          <w:szCs w:val="20"/>
          <w:lang w:bidi="en-US"/>
        </w:rPr>
        <w:t xml:space="preserve"> bisphosphonates (oral or intravenous), denosumab, or teriparatide.</w:t>
      </w:r>
      <w:bookmarkStart w:id="60" w:name="cl_c_159"/>
      <w:bookmarkEnd w:id="60"/>
    </w:p>
    <w:p w14:paraId="7CFE090F" w14:textId="77777777" w:rsidR="006D1B04" w:rsidRPr="00C20339" w:rsidRDefault="006D1B04" w:rsidP="00C20339">
      <w:pPr>
        <w:spacing w:after="0" w:line="240" w:lineRule="auto"/>
        <w:jc w:val="both"/>
        <w:rPr>
          <w:rFonts w:ascii="Futura" w:eastAsia="Calibri" w:hAnsi="Futura" w:cs="Calibri"/>
          <w:color w:val="000000"/>
          <w:sz w:val="20"/>
          <w:szCs w:val="20"/>
          <w:lang w:bidi="en-US"/>
        </w:rPr>
      </w:pPr>
    </w:p>
    <w:p w14:paraId="46100CA3" w14:textId="3C42B336" w:rsidR="00C20339" w:rsidRPr="00C20339" w:rsidRDefault="00C20339" w:rsidP="00C20339">
      <w:pPr>
        <w:spacing w:after="0" w:line="240" w:lineRule="auto"/>
        <w:jc w:val="both"/>
        <w:rPr>
          <w:rFonts w:ascii="Futura" w:eastAsia="Calibri" w:hAnsi="Futura" w:cs="Calibri"/>
          <w:color w:val="000000"/>
          <w:sz w:val="20"/>
          <w:szCs w:val="20"/>
          <w:lang w:bidi="en-US"/>
        </w:rPr>
      </w:pPr>
      <w:r w:rsidRPr="00C20339">
        <w:rPr>
          <w:rFonts w:ascii="Futura" w:eastAsia="Calibri" w:hAnsi="Futura" w:cs="Calibri"/>
          <w:color w:val="000000"/>
          <w:sz w:val="20"/>
          <w:szCs w:val="20"/>
          <w:lang w:bidi="en-US"/>
        </w:rPr>
        <w:t>For skeletal metastasis from cancer, evidence demonstrates at least moderate certainty of at least moderate net benefit.  A systematic review of randomized controlled trials and a meta-analysis concluded that bisphosphonates are effective in reducing bone pain and skeletal-related events in patients with breast cancer, including pathologic fracture and spinal cord compression.</w:t>
      </w:r>
      <w:bookmarkStart w:id="61" w:name="cl_c_196"/>
      <w:bookmarkEnd w:id="61"/>
      <w:r w:rsidRPr="00C20339">
        <w:rPr>
          <w:rFonts w:ascii="Futura" w:eastAsia="Calibri" w:hAnsi="Futura" w:cs="Calibri"/>
          <w:color w:val="000000"/>
          <w:sz w:val="20"/>
          <w:szCs w:val="20"/>
          <w:lang w:bidi="en-US"/>
        </w:rPr>
        <w:t> A specialty society guideline states that patients with breast cancer who have evidence of bone metastases should be treated with bone-modifying agents; patients should receive comprehensive treatment for bone pain.</w:t>
      </w:r>
      <w:bookmarkStart w:id="62" w:name="cl_c_198"/>
      <w:bookmarkEnd w:id="62"/>
      <w:r w:rsidRPr="00C20339">
        <w:rPr>
          <w:rFonts w:ascii="Futura" w:eastAsia="Calibri" w:hAnsi="Futura" w:cs="Calibri"/>
          <w:color w:val="000000"/>
          <w:sz w:val="20"/>
          <w:szCs w:val="20"/>
          <w:lang w:bidi="en-US"/>
        </w:rPr>
        <w:t> For skeletal lesions in multiple myeloma, systematic reviews and randomized trials concluded that use of bisphosphonates reduces pathologic fractures and that zoledronic acid therapy significantly improves overall survival, a result that could not be explained solely by a beneficial effect upon skeletal-related events.</w:t>
      </w:r>
      <w:bookmarkStart w:id="63" w:name="cl_c_199"/>
      <w:bookmarkEnd w:id="63"/>
      <w:r w:rsidRPr="00C20339">
        <w:rPr>
          <w:rFonts w:ascii="Futura" w:eastAsia="Calibri" w:hAnsi="Futura" w:cs="Calibri"/>
          <w:color w:val="000000"/>
          <w:sz w:val="20"/>
          <w:szCs w:val="20"/>
          <w:lang w:bidi="en-US"/>
        </w:rPr>
        <w:t xml:space="preserve"> Specialty society evidence-based guidelines recommend that all multiple myeloma patients with osteolytic </w:t>
      </w:r>
      <w:r w:rsidRPr="00C20339">
        <w:rPr>
          <w:rFonts w:ascii="Futura" w:eastAsia="Calibri" w:hAnsi="Futura" w:cs="Calibri"/>
          <w:color w:val="000000"/>
          <w:sz w:val="20"/>
          <w:szCs w:val="20"/>
          <w:lang w:bidi="en-US"/>
        </w:rPr>
        <w:lastRenderedPageBreak/>
        <w:t>disease at diagnosis and adequate renal function be treated with zoledronic acid or pamidronate in addition to specific antimyeloma therapy.</w:t>
      </w:r>
      <w:bookmarkStart w:id="64" w:name="cl_c_202"/>
      <w:bookmarkEnd w:id="64"/>
      <w:r w:rsidRPr="00C20339">
        <w:rPr>
          <w:rFonts w:ascii="Futura" w:eastAsia="Calibri" w:hAnsi="Futura" w:cs="Calibri"/>
          <w:color w:val="000000"/>
          <w:sz w:val="20"/>
          <w:szCs w:val="20"/>
          <w:lang w:bidi="en-US"/>
        </w:rPr>
        <w:t> Zoledronic acid has demonstrated effectiveness in patients with bone metastases from prostate cancer</w:t>
      </w:r>
      <w:bookmarkStart w:id="65" w:name="cl_c_204"/>
      <w:bookmarkEnd w:id="65"/>
      <w:r w:rsidRPr="00C20339">
        <w:rPr>
          <w:rFonts w:ascii="Futura" w:eastAsia="Calibri" w:hAnsi="Futura" w:cs="Calibri"/>
          <w:color w:val="000000"/>
          <w:sz w:val="20"/>
          <w:szCs w:val="20"/>
          <w:lang w:bidi="en-US"/>
        </w:rPr>
        <w:t xml:space="preserve"> and other solid tumors.</w:t>
      </w:r>
      <w:bookmarkStart w:id="66" w:name="cl_c_207"/>
      <w:bookmarkEnd w:id="66"/>
      <w:r w:rsidRPr="00C20339">
        <w:rPr>
          <w:rFonts w:ascii="Futura" w:eastAsia="Calibri" w:hAnsi="Futura" w:cs="Calibri"/>
          <w:color w:val="000000"/>
          <w:sz w:val="20"/>
          <w:szCs w:val="20"/>
          <w:lang w:bidi="en-US"/>
        </w:rPr>
        <w:t> However, there is no evidence of incremental improvement by zoledronic acid in other general clinical outcomes, such as progression-free survival, bone pain, or quality of life, in these patients.</w:t>
      </w:r>
      <w:bookmarkStart w:id="67" w:name="cl_c_211"/>
      <w:bookmarkEnd w:id="67"/>
      <w:r w:rsidRPr="00C20339">
        <w:rPr>
          <w:rFonts w:ascii="Futura" w:eastAsia="Calibri" w:hAnsi="Futura" w:cs="Calibri"/>
          <w:color w:val="000000"/>
          <w:sz w:val="20"/>
          <w:szCs w:val="20"/>
          <w:lang w:bidi="en-US"/>
        </w:rPr>
        <w:t> Benefits of zoledronic acid may be greater if therapy begins before the onset of bone pain.</w:t>
      </w:r>
      <w:bookmarkStart w:id="68" w:name="cl_c_215"/>
      <w:bookmarkEnd w:id="68"/>
      <w:r w:rsidRPr="00C20339">
        <w:rPr>
          <w:rFonts w:ascii="Futura" w:eastAsia="Calibri" w:hAnsi="Futura" w:cs="Calibri"/>
          <w:color w:val="000000"/>
          <w:sz w:val="20"/>
          <w:szCs w:val="20"/>
          <w:lang w:bidi="en-US"/>
        </w:rPr>
        <w:t> Randomized studies suggest that the efficacy of zoledronic acid administered every 12 weeks in patients with certain malignancies, including breast, prostate, and myeloma, is noninferior to administration every 3 to 4 weeks, but the drug is not approved for administration at this reduced frequency.</w:t>
      </w:r>
    </w:p>
    <w:p w14:paraId="6AAE680C" w14:textId="77777777" w:rsidR="00F621A8" w:rsidRDefault="00F621A8" w:rsidP="00554794">
      <w:pPr>
        <w:spacing w:after="0" w:line="240" w:lineRule="auto"/>
        <w:jc w:val="both"/>
        <w:rPr>
          <w:rFonts w:ascii="Futura" w:eastAsia="Calibri" w:hAnsi="Futura" w:cs="Calibri"/>
          <w:color w:val="000000"/>
          <w:sz w:val="20"/>
          <w:szCs w:val="20"/>
          <w:lang w:bidi="en-US"/>
        </w:rPr>
      </w:pPr>
    </w:p>
    <w:p w14:paraId="584F173E" w14:textId="2A78417F" w:rsidR="00BE7C22" w:rsidRDefault="00BE7C22" w:rsidP="00BE7C22">
      <w:pPr>
        <w:spacing w:after="0" w:line="240" w:lineRule="auto"/>
        <w:jc w:val="both"/>
        <w:rPr>
          <w:rFonts w:ascii="Futura" w:eastAsia="Calibri" w:hAnsi="Futura" w:cs="Calibri"/>
          <w:color w:val="000000"/>
          <w:sz w:val="20"/>
          <w:szCs w:val="20"/>
          <w:lang w:bidi="en-US"/>
        </w:rPr>
      </w:pPr>
      <w:r w:rsidRPr="00BE7C22">
        <w:rPr>
          <w:rFonts w:ascii="Futura" w:eastAsia="Calibri" w:hAnsi="Futura" w:cs="Calibri"/>
          <w:color w:val="000000"/>
          <w:sz w:val="20"/>
          <w:szCs w:val="20"/>
          <w:lang w:bidi="en-US"/>
        </w:rPr>
        <w:t>Denosumab is a fully human monoclonal antibody.</w:t>
      </w:r>
      <w:bookmarkStart w:id="69" w:name="cl_c_4"/>
      <w:bookmarkEnd w:id="69"/>
      <w:r w:rsidRPr="00BE7C22">
        <w:rPr>
          <w:rFonts w:ascii="Futura" w:eastAsia="Calibri" w:hAnsi="Futura" w:cs="Calibri"/>
          <w:color w:val="000000"/>
          <w:sz w:val="20"/>
          <w:szCs w:val="20"/>
          <w:lang w:bidi="en-US"/>
        </w:rPr>
        <w:t> It inhibits osteoclast formation, function, and survival, resulting in decreased bone resorption and consequent increased bone mass and strength in both trabecular and cortical bone.</w:t>
      </w:r>
      <w:bookmarkStart w:id="70" w:name="cl_c_7"/>
      <w:bookmarkEnd w:id="70"/>
    </w:p>
    <w:p w14:paraId="4B95E80B" w14:textId="77777777" w:rsidR="0034336B" w:rsidRPr="00BE7C22" w:rsidRDefault="0034336B" w:rsidP="00BE7C22">
      <w:pPr>
        <w:spacing w:after="0" w:line="240" w:lineRule="auto"/>
        <w:jc w:val="both"/>
        <w:rPr>
          <w:rFonts w:ascii="Futura" w:eastAsia="Calibri" w:hAnsi="Futura" w:cs="Calibri"/>
          <w:color w:val="000000"/>
          <w:sz w:val="20"/>
          <w:szCs w:val="20"/>
          <w:lang w:bidi="en-US"/>
        </w:rPr>
      </w:pPr>
    </w:p>
    <w:p w14:paraId="6D3B7C37" w14:textId="53D6BF9C" w:rsidR="00BE7C22" w:rsidRDefault="0034336B" w:rsidP="00BE7C22">
      <w:pPr>
        <w:spacing w:after="0" w:line="240" w:lineRule="auto"/>
        <w:jc w:val="both"/>
        <w:rPr>
          <w:rFonts w:ascii="Futura" w:eastAsia="Calibri" w:hAnsi="Futura" w:cs="Calibri"/>
          <w:color w:val="000000"/>
          <w:sz w:val="20"/>
          <w:szCs w:val="20"/>
          <w:lang w:bidi="en-US"/>
        </w:rPr>
      </w:pPr>
      <w:r w:rsidRPr="00BE7C22">
        <w:rPr>
          <w:rFonts w:ascii="Futura" w:eastAsia="Calibri" w:hAnsi="Futura" w:cs="Calibri"/>
          <w:color w:val="000000"/>
          <w:sz w:val="20"/>
          <w:szCs w:val="20"/>
          <w:lang w:bidi="en-US"/>
        </w:rPr>
        <w:t>Risk</w:t>
      </w:r>
      <w:r w:rsidR="00BE7C22" w:rsidRPr="00BE7C22">
        <w:rPr>
          <w:rFonts w:ascii="Futura" w:eastAsia="Calibri" w:hAnsi="Futura" w:cs="Calibri"/>
          <w:color w:val="000000"/>
          <w:sz w:val="20"/>
          <w:szCs w:val="20"/>
          <w:lang w:bidi="en-US"/>
        </w:rPr>
        <w:t xml:space="preserve"> of fracture, including vertebral fractures, </w:t>
      </w:r>
      <w:r w:rsidR="00953C0A" w:rsidRPr="00BE7C22">
        <w:rPr>
          <w:rFonts w:ascii="Futura" w:eastAsia="Calibri" w:hAnsi="Futura" w:cs="Calibri"/>
          <w:color w:val="000000"/>
          <w:sz w:val="20"/>
          <w:szCs w:val="20"/>
          <w:lang w:bidi="en-US"/>
        </w:rPr>
        <w:t>have</w:t>
      </w:r>
      <w:r w:rsidR="00BE7C22" w:rsidRPr="00BE7C22">
        <w:rPr>
          <w:rFonts w:ascii="Futura" w:eastAsia="Calibri" w:hAnsi="Futura" w:cs="Calibri"/>
          <w:color w:val="000000"/>
          <w:sz w:val="20"/>
          <w:szCs w:val="20"/>
          <w:lang w:bidi="en-US"/>
        </w:rPr>
        <w:t xml:space="preserve"> been shown to increase when denosumab is discontinued, and initiation of alternative antiresorptive therapy should be considered.</w:t>
      </w:r>
    </w:p>
    <w:p w14:paraId="0F012F9A" w14:textId="77777777" w:rsidR="0034336B" w:rsidRPr="00BE7C22" w:rsidRDefault="0034336B" w:rsidP="00BE7C22">
      <w:pPr>
        <w:spacing w:after="0" w:line="240" w:lineRule="auto"/>
        <w:jc w:val="both"/>
        <w:rPr>
          <w:rFonts w:ascii="Futura" w:eastAsia="Calibri" w:hAnsi="Futura" w:cs="Calibri"/>
          <w:color w:val="000000"/>
          <w:sz w:val="20"/>
          <w:szCs w:val="20"/>
          <w:lang w:bidi="en-US"/>
        </w:rPr>
      </w:pPr>
    </w:p>
    <w:p w14:paraId="1E1929E4" w14:textId="3B8BCD16" w:rsidR="00BE7C22" w:rsidRPr="00BE7C22" w:rsidRDefault="00BE7C22" w:rsidP="00BE7C22">
      <w:pPr>
        <w:spacing w:after="0" w:line="240" w:lineRule="auto"/>
        <w:jc w:val="both"/>
        <w:rPr>
          <w:rFonts w:ascii="Futura" w:eastAsia="Calibri" w:hAnsi="Futura" w:cs="Calibri"/>
          <w:color w:val="000000"/>
          <w:sz w:val="20"/>
          <w:szCs w:val="20"/>
          <w:lang w:bidi="en-US"/>
        </w:rPr>
      </w:pPr>
      <w:r w:rsidRPr="00BE7C22">
        <w:rPr>
          <w:rFonts w:ascii="Futura" w:eastAsia="Calibri" w:hAnsi="Futura" w:cs="Calibri"/>
          <w:color w:val="000000"/>
          <w:sz w:val="20"/>
          <w:szCs w:val="20"/>
          <w:lang w:bidi="en-US"/>
        </w:rPr>
        <w:t>Denosumab is associated with osteonecrosis of the jaw. Risk factors include invasive dental procedures, immunosuppressive therapy, gingival disease, and poor oral hygiene.</w:t>
      </w:r>
      <w:bookmarkStart w:id="71" w:name="cl_c_18"/>
      <w:bookmarkEnd w:id="71"/>
    </w:p>
    <w:p w14:paraId="3EFDEFEF" w14:textId="77777777" w:rsidR="00F621A8" w:rsidRDefault="00F621A8" w:rsidP="00554794">
      <w:pPr>
        <w:spacing w:after="0" w:line="240" w:lineRule="auto"/>
        <w:jc w:val="both"/>
        <w:rPr>
          <w:rFonts w:ascii="Futura" w:eastAsia="Calibri" w:hAnsi="Futura" w:cs="Calibri"/>
          <w:color w:val="000000"/>
          <w:sz w:val="20"/>
          <w:szCs w:val="20"/>
          <w:lang w:bidi="en-US"/>
        </w:rPr>
      </w:pPr>
    </w:p>
    <w:p w14:paraId="67A71BC1" w14:textId="258CD349" w:rsid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For giant cell tumor of bone, evidence demonstrates a net benefit, but of less than moderate certainty, and may consist of a consensus opinion of experts, case studies, and common standard care.  Review articles indicate that denosumab may offer symptom and disease control for patients with giant cell tumor of bone who have no other treatment options.</w:t>
      </w:r>
      <w:bookmarkStart w:id="72" w:name="cl_c_32"/>
      <w:bookmarkEnd w:id="72"/>
      <w:r w:rsidRPr="007215D2">
        <w:rPr>
          <w:rFonts w:ascii="Futura" w:eastAsia="Calibri" w:hAnsi="Futura" w:cs="Calibri"/>
          <w:color w:val="000000"/>
          <w:sz w:val="20"/>
          <w:szCs w:val="20"/>
          <w:lang w:bidi="en-US"/>
        </w:rPr>
        <w:t> A multicenter open-label phase II study of 37 adult patients with recurrent or unresectable giant cell tumor of bone treated with monthly denosumab reported 86% tumor response (defined as elimination of at least 90% of giant cells on histology or no radiologic progression of the target lesion) at 25 weeks. A multicenter open-label phase II study of 282 patients with giant cell tumors of the bone treated with denosumab found that 96% of 169 patients with surgically unresectable disease had no disease progression for a median duration of 13 months; 74% of 100 patients for whom surgery would have resulted in severe morbidity had no surgery; and 62% of 26 patients having surgery had a less morbid procedure than originally planned. In long-term follow-up of 532 patients treated with denosumab for giant cell tumor of bone, including the 282 patients from the previously described multicenter phase II study, at median follow-up of 58.1 months, 26% of patients had serious treatment-emergent adverse events, including 17 cases of osteonecrosis of the jaw (3% of total sample).</w:t>
      </w:r>
    </w:p>
    <w:p w14:paraId="56427F93" w14:textId="77777777" w:rsidR="00581F2E" w:rsidRPr="007215D2" w:rsidRDefault="00581F2E" w:rsidP="007215D2">
      <w:pPr>
        <w:spacing w:after="0" w:line="240" w:lineRule="auto"/>
        <w:jc w:val="both"/>
        <w:rPr>
          <w:rFonts w:ascii="Futura" w:eastAsia="Calibri" w:hAnsi="Futura" w:cs="Calibri"/>
          <w:color w:val="000000"/>
          <w:sz w:val="20"/>
          <w:szCs w:val="20"/>
          <w:lang w:bidi="en-US"/>
        </w:rPr>
      </w:pPr>
    </w:p>
    <w:p w14:paraId="1CACCC0D" w14:textId="44592875" w:rsidR="00581F2E"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 xml:space="preserve">For hypercalcemia of malignancy, evidence demonstrates a net benefit, but of less than moderate certainty, and may consist of a consensus opinion of experts, case studies, and common standard care.  In an open-label single-arm study of 33 patients with hypercalcemia of malignancy refractory to bisphosphonate therapy, corrected serum calcium was achieved in 64% of patients after 10 days. </w:t>
      </w:r>
      <w:r w:rsidR="00581F2E" w:rsidRPr="007215D2">
        <w:rPr>
          <w:rFonts w:ascii="Futura" w:eastAsia="Calibri" w:hAnsi="Futura" w:cs="Calibri"/>
          <w:color w:val="000000"/>
          <w:sz w:val="20"/>
          <w:szCs w:val="20"/>
          <w:lang w:bidi="en-US"/>
        </w:rPr>
        <w:t>The median</w:t>
      </w:r>
      <w:r w:rsidRPr="007215D2">
        <w:rPr>
          <w:rFonts w:ascii="Futura" w:eastAsia="Calibri" w:hAnsi="Futura" w:cs="Calibri"/>
          <w:color w:val="000000"/>
          <w:sz w:val="20"/>
          <w:szCs w:val="20"/>
          <w:lang w:bidi="en-US"/>
        </w:rPr>
        <w:t xml:space="preserve"> </w:t>
      </w:r>
      <w:r w:rsidR="00581F2E" w:rsidRPr="007215D2">
        <w:rPr>
          <w:rFonts w:ascii="Futura" w:eastAsia="Calibri" w:hAnsi="Futura" w:cs="Calibri"/>
          <w:color w:val="000000"/>
          <w:sz w:val="20"/>
          <w:szCs w:val="20"/>
          <w:lang w:bidi="en-US"/>
        </w:rPr>
        <w:t>response time</w:t>
      </w:r>
      <w:r w:rsidRPr="007215D2">
        <w:rPr>
          <w:rFonts w:ascii="Futura" w:eastAsia="Calibri" w:hAnsi="Futura" w:cs="Calibri"/>
          <w:color w:val="000000"/>
          <w:sz w:val="20"/>
          <w:szCs w:val="20"/>
          <w:lang w:bidi="en-US"/>
        </w:rPr>
        <w:t xml:space="preserve"> was 9 days, and median response duration was 104 days.</w:t>
      </w:r>
      <w:bookmarkStart w:id="73" w:name="cl_c_46"/>
      <w:bookmarkEnd w:id="73"/>
      <w:r w:rsidRPr="007215D2">
        <w:rPr>
          <w:rFonts w:ascii="Futura" w:eastAsia="Calibri" w:hAnsi="Futura" w:cs="Calibri"/>
          <w:color w:val="000000"/>
          <w:sz w:val="20"/>
          <w:szCs w:val="20"/>
          <w:lang w:bidi="en-US"/>
        </w:rPr>
        <w:t> A retrospective case series of 7 patients receiving denosumab for hypercalcemia of malignancy found effectiveness in reducing serum calcium, although hypocalcemia was an issue in some patients.</w:t>
      </w:r>
      <w:bookmarkStart w:id="74" w:name="cl_c_47"/>
      <w:bookmarkEnd w:id="74"/>
      <w:r w:rsidRPr="007215D2">
        <w:rPr>
          <w:rFonts w:ascii="Futura" w:eastAsia="Calibri" w:hAnsi="Futura" w:cs="Calibri"/>
          <w:color w:val="000000"/>
          <w:sz w:val="20"/>
          <w:szCs w:val="20"/>
          <w:lang w:bidi="en-US"/>
        </w:rPr>
        <w:t> A single-arm proof-of-concept study of 15 patients with hypercalcemia of malignancy, either persisting or relapsing despite bisphosphonate therapy, found that 12 patients responded by day 10, with 10 patients exhibiting a complete response.</w:t>
      </w:r>
      <w:bookmarkStart w:id="75" w:name="cl_c_48"/>
      <w:bookmarkEnd w:id="75"/>
      <w:r w:rsidRPr="007215D2">
        <w:rPr>
          <w:rFonts w:ascii="Futura" w:eastAsia="Calibri" w:hAnsi="Futura" w:cs="Calibri"/>
          <w:color w:val="000000"/>
          <w:sz w:val="20"/>
          <w:szCs w:val="20"/>
          <w:lang w:bidi="en-US"/>
        </w:rPr>
        <w:t> A specialty society guideline recommends denosumab therapy for adults with hypercalcemia of malignancy that is refractory to intravenous bisphosphonate therapy.</w:t>
      </w:r>
      <w:bookmarkStart w:id="76" w:name="cl_c_49"/>
      <w:bookmarkEnd w:id="76"/>
    </w:p>
    <w:p w14:paraId="10E0ACEF" w14:textId="6F1F3E7A" w:rsidR="007215D2" w:rsidRPr="007215D2" w:rsidRDefault="00581F2E"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 xml:space="preserve"> </w:t>
      </w:r>
    </w:p>
    <w:p w14:paraId="1656FCEE" w14:textId="7D5646B5" w:rsid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 xml:space="preserve">For osteoporosis, evidence demonstrates at least moderate certainty of at least moderate net benefit.  In postmenopausal women, denosumab is effective in significantly increasing bone mineral density at multiple trabecular and cortical sites. Systematic reviews of randomized trials </w:t>
      </w:r>
      <w:r w:rsidRPr="007215D2">
        <w:rPr>
          <w:rFonts w:ascii="Futura" w:eastAsia="Calibri" w:hAnsi="Futura" w:cs="Calibri"/>
          <w:color w:val="000000"/>
          <w:sz w:val="20"/>
          <w:szCs w:val="20"/>
          <w:lang w:bidi="en-US"/>
        </w:rPr>
        <w:lastRenderedPageBreak/>
        <w:t>concluded that denosumab also decreased the risk of hip, vertebral, and nonvertebral fractures. A systematic review and meta-analysis of 9 manufacturer-funded studies involving 4890 postmenopausal women found, at 12-month to 24-month follow-up, that safety and efficacy of denosumab in reducing fracture risk were comparable to those of bisphosphonates, although improvement in bone mineral density was significantly higher with denosumab.</w:t>
      </w:r>
      <w:bookmarkStart w:id="77" w:name="cl_c_65"/>
      <w:bookmarkEnd w:id="77"/>
      <w:r w:rsidRPr="007215D2">
        <w:rPr>
          <w:rFonts w:ascii="Futura" w:eastAsia="Calibri" w:hAnsi="Futura" w:cs="Calibri"/>
          <w:color w:val="000000"/>
          <w:sz w:val="20"/>
          <w:szCs w:val="20"/>
          <w:lang w:bidi="en-US"/>
        </w:rPr>
        <w:t xml:space="preserve"> A pooled analysis of 4 randomized controlled trials (2850 patients) comparing denosumab with a bisphosphonate (alendronate, risedronate, ibandronate, or zoledronic acid) in postmenopausal women </w:t>
      </w:r>
      <w:r w:rsidR="00953C0A" w:rsidRPr="007215D2">
        <w:rPr>
          <w:rFonts w:ascii="Futura" w:eastAsia="Calibri" w:hAnsi="Futura" w:cs="Calibri"/>
          <w:color w:val="000000"/>
          <w:sz w:val="20"/>
          <w:szCs w:val="20"/>
          <w:lang w:bidi="en-US"/>
        </w:rPr>
        <w:t>aged</w:t>
      </w:r>
      <w:r w:rsidRPr="007215D2">
        <w:rPr>
          <w:rFonts w:ascii="Futura" w:eastAsia="Calibri" w:hAnsi="Futura" w:cs="Calibri"/>
          <w:color w:val="000000"/>
          <w:sz w:val="20"/>
          <w:szCs w:val="20"/>
          <w:lang w:bidi="en-US"/>
        </w:rPr>
        <w:t xml:space="preserve"> 55 years or older previously treated with an oral bisphosphonate found that, at 12-month follow-up, denosumab-treated patients had greater improvements in bone mineral density at the femoral neck, total hip, lumbar spine, and 1/3 radius.</w:t>
      </w:r>
      <w:bookmarkStart w:id="78" w:name="cl_c_66"/>
      <w:bookmarkEnd w:id="78"/>
      <w:r w:rsidRPr="007215D2">
        <w:rPr>
          <w:rFonts w:ascii="Futura" w:eastAsia="Calibri" w:hAnsi="Futura" w:cs="Calibri"/>
          <w:color w:val="000000"/>
          <w:sz w:val="20"/>
          <w:szCs w:val="20"/>
          <w:lang w:bidi="en-US"/>
        </w:rPr>
        <w:t> An international randomized controlled trial with 7868 women with postmenopausal osteoporosis and at high risk for fracture assigned patients to denosumab or to placebo every 6 months for 36 months. After 36 months, new vertebral fractures occurred in 2.3% of the denosumab group and in 7.2% of the placebo group, a 68% relative risk reduction. Significant decreases in secondary endpoints of hip fractures (0.7% vs 1.2%) and nonvertebral fractures (6.5% vs 8%) were also noted. No significant increase in major adverse effects, including malignancy, cardiovascular disease, infection, delayed fracture healing, or hypocalcemia, was noted in this study population.</w:t>
      </w:r>
      <w:bookmarkStart w:id="79" w:name="cl_c_67"/>
      <w:bookmarkEnd w:id="79"/>
      <w:r w:rsidRPr="007215D2">
        <w:rPr>
          <w:rFonts w:ascii="Futura" w:eastAsia="Calibri" w:hAnsi="Futura" w:cs="Calibri"/>
          <w:color w:val="000000"/>
          <w:sz w:val="20"/>
          <w:szCs w:val="20"/>
          <w:lang w:bidi="en-US"/>
        </w:rPr>
        <w:t> An open-label extension of this trial with 4550 participants reported that bone mineral density continued to improve after 5 years of treatment in the long-term group, resulting in gains of 13.7% and 7% in the lumbar spine and hip, respectively. Bone mineral density also improved in the crossover group after 2 years of treatment, resulting in gains of 7.7% and 4% in the lumbar spine and hip, respectively.</w:t>
      </w:r>
      <w:bookmarkStart w:id="80" w:name="cl_c_69"/>
      <w:bookmarkEnd w:id="80"/>
      <w:r w:rsidRPr="007215D2">
        <w:rPr>
          <w:rFonts w:ascii="Futura" w:eastAsia="Calibri" w:hAnsi="Futura" w:cs="Calibri"/>
          <w:color w:val="000000"/>
          <w:sz w:val="20"/>
          <w:szCs w:val="20"/>
          <w:lang w:bidi="en-US"/>
        </w:rPr>
        <w:t xml:space="preserve"> Another analysis of this study evaluating 2207 postmenopausal women treated with denosumab over a 7-year extension period found a significant reduction in fracture rate ratios of the upper limb, including at the wrist, forearm, and humerus. Follow-up data remain consistent after 10 years of treatment </w:t>
      </w:r>
      <w:r w:rsidR="00581F2E" w:rsidRPr="007215D2">
        <w:rPr>
          <w:rFonts w:ascii="Futura" w:eastAsia="Calibri" w:hAnsi="Futura" w:cs="Calibri"/>
          <w:color w:val="000000"/>
          <w:sz w:val="20"/>
          <w:szCs w:val="20"/>
          <w:lang w:bidi="en-US"/>
        </w:rPr>
        <w:t>regarding</w:t>
      </w:r>
      <w:r w:rsidRPr="007215D2">
        <w:rPr>
          <w:rFonts w:ascii="Futura" w:eastAsia="Calibri" w:hAnsi="Futura" w:cs="Calibri"/>
          <w:color w:val="000000"/>
          <w:sz w:val="20"/>
          <w:szCs w:val="20"/>
          <w:lang w:bidi="en-US"/>
        </w:rPr>
        <w:t xml:space="preserve"> both safety and efficacy, including continued increases in bone mineral density without plateau. A randomized trial of 100 women with postmenopausal osteoporosis compared treatment with denosumab, teriparatide, or combination therapy with both medications and found, at 12-month follow-up, that combination therapy was associated with improved bone mineral density at the lumbar spine, hip, and femoral neck. A randomized trial of 76 women with postmenopausal osteoporosis compared treatment with denosumab combined with standard-dose (20 mcg) or high-dose (40 mcg) teriparatide and found, at 15-month follow-up, that high-dose teriparatide was associated with improved bone mineral density in the lumbar spine, hip, and femoral neck compared with standard-dose teriparatide. For osteoporosis in males, a network meta-analysis identified 2 randomized trials (289 patients) comparing denosumab with placebo for the treatment of osteoporosis and found that treatment with denosumab resulted in a reduction in vertebral fracture rates compared with placebo. For glucocorticoid-induced osteoporosis, a systematic review and network meta-analysis of 19 randomized controlled trials of treatments to prevent fractures in patients with glucocorticoid-induced osteoporosis or who are starting or continuing long-term glucocorticoid treatment, including 4 studies evaluating denosumab, found that denosumab was associated with a lower risk of vertebral fracture than placebo. A phase III, double-blind, double-dummy, noninferiority trial randomized 795 adults with glucocorticoid-induced osteoporosis to treatment with denosumab every 6 months or daily risedronate for 24 months. In the 590 adults who completed 24-month follow-up, denosumab was associated with improved bone mineral density from baseline at the lumbar spine and total hip compared with risedronate. Limitations included absent outcomes data for fractures and a lack of information regarding treatment patterns or outcomes after completion of denosumab. A specialty society guideline recommends initiating pharmacologic therapy for postmenopausal patients with low bone mass and a history of hip or spine fragility fracture or high risk for fracture. The guideline suggests that patients at very high fracture risk (</w:t>
      </w:r>
      <w:r w:rsidR="00581F2E" w:rsidRPr="007215D2">
        <w:rPr>
          <w:rFonts w:ascii="Futura" w:eastAsia="Calibri" w:hAnsi="Futura" w:cs="Calibri"/>
          <w:color w:val="000000"/>
          <w:sz w:val="20"/>
          <w:szCs w:val="20"/>
          <w:lang w:bidi="en-US"/>
        </w:rPr>
        <w:t>e.g.</w:t>
      </w:r>
      <w:r w:rsidRPr="007215D2">
        <w:rPr>
          <w:rFonts w:ascii="Futura" w:eastAsia="Calibri" w:hAnsi="Futura" w:cs="Calibri"/>
          <w:color w:val="000000"/>
          <w:sz w:val="20"/>
          <w:szCs w:val="20"/>
          <w:lang w:bidi="en-US"/>
        </w:rPr>
        <w:t xml:space="preserve">, fracture within the past 12 months, high risk for falls, fractures while on osteoporosis pharmacotherapy) be treated with abaloparatide, denosumab, romosozumab, teriparatide, or zoledronate, but notes that there is limited evidence for defining who is at very high risk. Another specialty society guideline and a review article recommend initial treatment with bisphosphonates for most postmenopausal women with osteoporosis at high fracture risk, with denosumab as an alternative initial </w:t>
      </w:r>
      <w:r w:rsidRPr="007215D2">
        <w:rPr>
          <w:rFonts w:ascii="Futura" w:eastAsia="Calibri" w:hAnsi="Futura" w:cs="Calibri"/>
          <w:color w:val="000000"/>
          <w:sz w:val="20"/>
          <w:szCs w:val="20"/>
          <w:lang w:bidi="en-US"/>
        </w:rPr>
        <w:lastRenderedPageBreak/>
        <w:t>treatment. Expert consensus guidelines recommend denosumab as a treatment option to reduce the risk for hip and vertebral fractures in women with osteoporosis.</w:t>
      </w:r>
      <w:bookmarkStart w:id="81" w:name="cl_c_82"/>
      <w:bookmarkEnd w:id="81"/>
    </w:p>
    <w:p w14:paraId="38E05272" w14:textId="77777777" w:rsidR="00581F2E" w:rsidRPr="007215D2" w:rsidRDefault="00581F2E" w:rsidP="007215D2">
      <w:pPr>
        <w:spacing w:after="0" w:line="240" w:lineRule="auto"/>
        <w:jc w:val="both"/>
        <w:rPr>
          <w:rFonts w:ascii="Futura" w:eastAsia="Calibri" w:hAnsi="Futura" w:cs="Calibri"/>
          <w:color w:val="000000"/>
          <w:sz w:val="20"/>
          <w:szCs w:val="20"/>
          <w:lang w:bidi="en-US"/>
        </w:rPr>
      </w:pPr>
    </w:p>
    <w:p w14:paraId="22320177" w14:textId="08FF364B" w:rsid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For prevention of bone loss in women with breast cancer, evidence demonstrates at least moderate certainty of at least moderate net benefit.  Expert guidelines and review articles recommend treatment with denosumab for women with breast cancer being treated with aromatase inhibitors. In a randomized controlled trial of 3420 postmenopausal patients with early hormone receptor-positive breast cancer who were receiving treatment with aromatase inhibitors, denosumab doubled the time to first fracture as compared with placebo. Follow-up analysis of this study found, at a median follow-up of 73 months, that denosumab was associated with improved disease-free survival (defined as time to first evidence of metastatic disease, contralateral breast cancer, secondary carcinoma, or death from any cause) compared with placebo, with no difference in adverse events between the groups. A mixed-treatment meta-analysis estimated that immediate use of denosumab, as compared with zoledronic acid, for the treatment of early postmenopausal breast cancer treated with aromatase inhibitors provided significantly better protection (a 50% odds ratio reduction) against new fractures.</w:t>
      </w:r>
    </w:p>
    <w:p w14:paraId="472170B7" w14:textId="77777777" w:rsidR="00581F2E" w:rsidRPr="007215D2" w:rsidRDefault="00581F2E" w:rsidP="007215D2">
      <w:pPr>
        <w:spacing w:after="0" w:line="240" w:lineRule="auto"/>
        <w:jc w:val="both"/>
        <w:rPr>
          <w:rFonts w:ascii="Futura" w:eastAsia="Calibri" w:hAnsi="Futura" w:cs="Calibri"/>
          <w:color w:val="000000"/>
          <w:sz w:val="20"/>
          <w:szCs w:val="20"/>
          <w:lang w:bidi="en-US"/>
        </w:rPr>
      </w:pPr>
    </w:p>
    <w:p w14:paraId="736F0540" w14:textId="6FA17F6D" w:rsid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For prevention of bone loss in men with prostate cancer, evidence demonstrates at least moderate certainty of at least moderate net benefit.  A systematic review and meta-analysis of 27 clinical trials concluded that both bisphosphonates and denosumab improve bone mineral density in men with nonmetastatic prostate cancer who are receiving androgen deprivation therapy; a single randomized trial studied denosumab and found that its use was associated with reduced risk of vertebral fractures. Expert consensus guidelines recommend denosumab as a treatment option for men with prostate cancer treated with androgen deprivation therapy and a high probability of fracture.</w:t>
      </w:r>
      <w:bookmarkStart w:id="82" w:name="cl_c_161"/>
      <w:bookmarkEnd w:id="82"/>
    </w:p>
    <w:p w14:paraId="7179E853" w14:textId="77777777" w:rsidR="005572CD" w:rsidRPr="007215D2" w:rsidRDefault="005572CD" w:rsidP="007215D2">
      <w:pPr>
        <w:spacing w:after="0" w:line="240" w:lineRule="auto"/>
        <w:jc w:val="both"/>
        <w:rPr>
          <w:rFonts w:ascii="Futura" w:eastAsia="Calibri" w:hAnsi="Futura" w:cs="Calibri"/>
          <w:color w:val="000000"/>
          <w:sz w:val="20"/>
          <w:szCs w:val="20"/>
          <w:lang w:bidi="en-US"/>
        </w:rPr>
      </w:pPr>
    </w:p>
    <w:p w14:paraId="05294BFC" w14:textId="54F37A42" w:rsid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 xml:space="preserve">For prevention of glucocorticoid-induced osteoporosis, evidence demonstrates a net benefit, but of less than moderate certainty, and may consist of a consensus opinion of experts, case studies, and common standard care.  A specialty society guideline states that patients who are receiving chronic glucocorticoid therapy, defined as a daily dose equivalent of 2.5 mg or more of prednisone for 3 or more months, should be risk-stratified for fracture risk. Patients at moderate to high risk of fracture should be treated with medication to prevent osteoporosis, </w:t>
      </w:r>
      <w:r w:rsidR="001A5F03" w:rsidRPr="007215D2">
        <w:rPr>
          <w:rFonts w:ascii="Futura" w:eastAsia="Calibri" w:hAnsi="Futura" w:cs="Calibri"/>
          <w:color w:val="000000"/>
          <w:sz w:val="20"/>
          <w:szCs w:val="20"/>
          <w:lang w:bidi="en-US"/>
        </w:rPr>
        <w:t>including</w:t>
      </w:r>
      <w:r w:rsidRPr="007215D2">
        <w:rPr>
          <w:rFonts w:ascii="Futura" w:eastAsia="Calibri" w:hAnsi="Futura" w:cs="Calibri"/>
          <w:color w:val="000000"/>
          <w:sz w:val="20"/>
          <w:szCs w:val="20"/>
          <w:lang w:bidi="en-US"/>
        </w:rPr>
        <w:t xml:space="preserve"> bisphosphonates (oral or intravenous), denosumab, or teriparatide.</w:t>
      </w:r>
    </w:p>
    <w:p w14:paraId="1189778D" w14:textId="77777777" w:rsidR="005572CD" w:rsidRPr="007215D2" w:rsidRDefault="005572CD" w:rsidP="007215D2">
      <w:pPr>
        <w:spacing w:after="0" w:line="240" w:lineRule="auto"/>
        <w:jc w:val="both"/>
        <w:rPr>
          <w:rFonts w:ascii="Futura" w:eastAsia="Calibri" w:hAnsi="Futura" w:cs="Calibri"/>
          <w:color w:val="000000"/>
          <w:sz w:val="20"/>
          <w:szCs w:val="20"/>
          <w:lang w:bidi="en-US"/>
        </w:rPr>
      </w:pPr>
    </w:p>
    <w:p w14:paraId="1C54AD09" w14:textId="6572DF37" w:rsidR="007215D2" w:rsidRPr="007215D2" w:rsidRDefault="007215D2" w:rsidP="007215D2">
      <w:pPr>
        <w:spacing w:after="0" w:line="240" w:lineRule="auto"/>
        <w:jc w:val="both"/>
        <w:rPr>
          <w:rFonts w:ascii="Futura" w:eastAsia="Calibri" w:hAnsi="Futura" w:cs="Calibri"/>
          <w:color w:val="000000"/>
          <w:sz w:val="20"/>
          <w:szCs w:val="20"/>
          <w:lang w:bidi="en-US"/>
        </w:rPr>
      </w:pPr>
      <w:r w:rsidRPr="007215D2">
        <w:rPr>
          <w:rFonts w:ascii="Futura" w:eastAsia="Calibri" w:hAnsi="Futura" w:cs="Calibri"/>
          <w:color w:val="000000"/>
          <w:sz w:val="20"/>
          <w:szCs w:val="20"/>
          <w:lang w:bidi="en-US"/>
        </w:rPr>
        <w:t xml:space="preserve">For prevention or treatment of skeletal-related events from multiple myeloma or cancer metastatic to bone, evidence demonstrates at least moderate certainty of at least moderate net benefit.  Systematic reviews and meta-analyses have reported that denosumab was more effective than zoledronic acid in reducing the incidence of and delaying the time to skeletal-related events; however, no differences were found between the 2 drugs in terms of mortality or overall adverse events. A systematic review concluded that the mechanism for reducing skeletal-related events rests primarily on denosumab delaying or preventing such painful bone-related events rather than on a direct analgesic effect. In a meta-analysis of 3 phase III trials (with a total of 5543 patients with breast cancer, prostate cancer, or other solid tumors, and one or more bone metastases), denosumab was found to be significantly better than zoledronic acid in terms of risk of first or subsequent skeletal-related event, bone metastasis location and number, and visceral metastasis presence or absence across all subgroups of patients; however, this study did not address mortality or survival. For breast cancer, systematic reviews concluded that denosumab reduces the risk of and delays the time to pathologic fractures, spinal cord compression, and need for surgery or radiation therapy to bone. In addition, a randomized controlled trial of 2046 patients with advanced breast cancer and bone metastases found that denosumab was comparable to zoledronic acid for palliation of pain. For skeletal lesions in multiple myeloma, a phase III randomized trial of 1718 patients with newly diagnosed multiple myeloma (all of whom had at least one lytic bone lesion) compared treatment with either zoledronic acid or denosumab and found, at 17.3-month follow-up (denosumab) and 17.6-month follow-up (zoledronic acid), that </w:t>
      </w:r>
      <w:r w:rsidRPr="007215D2">
        <w:rPr>
          <w:rFonts w:ascii="Futura" w:eastAsia="Calibri" w:hAnsi="Futura" w:cs="Calibri"/>
          <w:color w:val="000000"/>
          <w:sz w:val="20"/>
          <w:szCs w:val="20"/>
          <w:lang w:bidi="en-US"/>
        </w:rPr>
        <w:lastRenderedPageBreak/>
        <w:t>denosumab was noninferior to zoledronic acid in delaying time to first skeletal-related event; no difference in overall survival was seen between groups. Review articles state that denosumab is usually well tolerated and effective in impairing malignant osteolysis, particularly in those myeloma patients with deteriorating renal function for whom bisphosphonates are contraindicated but denosumab is not. Specialty society guidelines state that denosumab provides an alternative to zoledronic acid for the prevention of skeletal-related events in patients with active symptomatic multiple myeloma requiring systemic therapy; the guidelines note that fewer adverse events related to renal toxicity have been seen with denosumab, and thus denosumab may be preferred over zoledronic acid in patients with renal impairment. For prostate cancer, a systematic review and other review articles have confirmed the efficacy of denosumab in reducing the incidence of and delaying the time to skeletal-related events. A multicenter, randomized, double-blind, placebo-controlled trial involving 1432 men reported a significant increase in bone metastasis-free survival by a median of 4.2 months; however, overall survival did not differ between groups. Additionally, a double-blind randomized controlled trial assigned 1901 men with bone metastases from castration-resistant prostate cancer to either denosumab or zoledronic acid. After approximately 12 months, denosumab was found to be significantly more effective than zoledronic acid in terms of preventing skeletal-related events, delaying average time to a first event from 17 months with zoledronic acid to 21 months with denosumab. Based on data from randomized trials of denosumab, a review article reported that the number needed to treat for denosumab to prevent skeletal-related events was 18 patients for breast cancer (over 34 months), 22 patients for prostate cancer (over 41 months), and 21 patients for other cancer sites (over 34 months). Expert consensus guidelines support the use and role of denosumab in delaying or preventing skeletal-related events in patients with several types of solid tumors, including breast, prostate, lung, and kidney</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F41B3A">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42297E35" w:rsidR="0072503A" w:rsidRDefault="00002541"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4214B2">
        <w:rPr>
          <w:rFonts w:ascii="Futura" w:hAnsi="Futura"/>
          <w:sz w:val="24"/>
          <w:szCs w:val="24"/>
        </w:rPr>
        <w:t>365</w:t>
      </w:r>
      <w:r w:rsidR="0072503A">
        <w:rPr>
          <w:rFonts w:ascii="Futura" w:hAnsi="Futura"/>
          <w:sz w:val="24"/>
          <w:szCs w:val="24"/>
        </w:rPr>
        <w:t xml:space="preserve"> days (if new) or if it is a reauthorization request.</w:t>
      </w:r>
    </w:p>
    <w:p w14:paraId="2CB2D8D3" w14:textId="03901DE9" w:rsidR="00856D17" w:rsidRDefault="00856D17"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953C0A">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27FC0E9F" w14:textId="7EAF514C" w:rsidR="00742920" w:rsidRPr="00856D17" w:rsidRDefault="00742920"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The PBM is responsible for </w:t>
      </w:r>
      <w:r w:rsidR="006532CF">
        <w:rPr>
          <w:rFonts w:ascii="Futura" w:hAnsi="Futura"/>
          <w:sz w:val="24"/>
          <w:szCs w:val="24"/>
        </w:rPr>
        <w:t xml:space="preserve">processing Part D prior authorizations, redeterminations, exceptions and otherwise.  Please consult the most current formulary and prior authorization criteria </w:t>
      </w:r>
      <w:r w:rsidR="00292E89">
        <w:rPr>
          <w:rFonts w:ascii="Futura" w:hAnsi="Futura"/>
          <w:sz w:val="24"/>
          <w:szCs w:val="24"/>
        </w:rPr>
        <w:t>for content.</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1C7FF203" w14:textId="7A291BA1" w:rsidR="00C70439" w:rsidRPr="00C70439" w:rsidRDefault="00F41B3A" w:rsidP="00794322">
      <w:pPr>
        <w:pStyle w:val="ListParagraph"/>
        <w:numPr>
          <w:ilvl w:val="0"/>
          <w:numId w:val="1"/>
        </w:numPr>
        <w:spacing w:after="0" w:line="240" w:lineRule="auto"/>
        <w:rPr>
          <w:rFonts w:ascii="Futura" w:eastAsia="Calibri" w:hAnsi="Futura" w:cs="Calibri"/>
          <w:b/>
          <w:bCs/>
          <w:color w:val="000000"/>
          <w:sz w:val="20"/>
          <w:szCs w:val="20"/>
          <w:lang w:bidi="en-US"/>
        </w:rPr>
      </w:pPr>
      <w:r w:rsidRPr="00C70439">
        <w:rPr>
          <w:rFonts w:ascii="Futura" w:eastAsia="Calibri" w:hAnsi="Futura" w:cs="Calibri"/>
          <w:color w:val="000000"/>
          <w:sz w:val="20"/>
          <w:szCs w:val="20"/>
          <w:lang w:bidi="en-US"/>
        </w:rPr>
        <w:t>Pr</w:t>
      </w:r>
      <w:r w:rsidR="00635D4D" w:rsidRPr="00C70439">
        <w:rPr>
          <w:rFonts w:ascii="Futura" w:eastAsia="Calibri" w:hAnsi="Futura" w:cs="Calibri"/>
          <w:color w:val="000000"/>
          <w:sz w:val="20"/>
          <w:szCs w:val="20"/>
          <w:lang w:bidi="en-US"/>
        </w:rPr>
        <w:t>olia</w:t>
      </w:r>
      <w:r w:rsidR="006905E1" w:rsidRPr="00C70439">
        <w:rPr>
          <w:rFonts w:ascii="Futura" w:eastAsia="Calibri" w:hAnsi="Futura" w:cs="Calibri"/>
          <w:color w:val="000000"/>
          <w:sz w:val="20"/>
          <w:szCs w:val="20"/>
          <w:lang w:bidi="en-US"/>
        </w:rPr>
        <w:t xml:space="preserve"> package insert. </w:t>
      </w:r>
      <w:hyperlink r:id="rId12" w:history="1">
        <w:r w:rsidR="00C70439">
          <w:rPr>
            <w:rStyle w:val="Hyperlink"/>
          </w:rPr>
          <w:t>https://www.accessdata.fda.gov/drugsatfda_docs/label/2024/125320s213lbl.pdf</w:t>
        </w:r>
      </w:hyperlink>
    </w:p>
    <w:p w14:paraId="0B511245" w14:textId="11977E84" w:rsidR="00A54A77" w:rsidRPr="00C70439" w:rsidRDefault="00635D4D" w:rsidP="00794322">
      <w:pPr>
        <w:pStyle w:val="ListParagraph"/>
        <w:numPr>
          <w:ilvl w:val="0"/>
          <w:numId w:val="1"/>
        </w:numPr>
        <w:spacing w:after="0" w:line="240" w:lineRule="auto"/>
        <w:rPr>
          <w:rFonts w:ascii="Futura" w:eastAsia="Calibri" w:hAnsi="Futura" w:cs="Calibri"/>
          <w:b/>
          <w:bCs/>
          <w:color w:val="000000"/>
          <w:sz w:val="20"/>
          <w:szCs w:val="20"/>
          <w:lang w:bidi="en-US"/>
        </w:rPr>
      </w:pPr>
      <w:r w:rsidRPr="00C70439">
        <w:rPr>
          <w:rFonts w:ascii="Futura" w:eastAsia="Calibri" w:hAnsi="Futura" w:cs="Calibri"/>
          <w:color w:val="000000"/>
          <w:sz w:val="20"/>
          <w:szCs w:val="20"/>
          <w:lang w:bidi="en-US"/>
        </w:rPr>
        <w:t>Xgeva</w:t>
      </w:r>
      <w:r w:rsidR="00F41B3A" w:rsidRPr="00C70439">
        <w:rPr>
          <w:rFonts w:ascii="Futura" w:eastAsia="Calibri" w:hAnsi="Futura" w:cs="Calibri"/>
          <w:color w:val="000000"/>
          <w:sz w:val="20"/>
          <w:szCs w:val="20"/>
          <w:lang w:bidi="en-US"/>
        </w:rPr>
        <w:t xml:space="preserve"> package insert. </w:t>
      </w:r>
      <w:hyperlink r:id="rId13" w:history="1">
        <w:r w:rsidR="00A36FA7">
          <w:rPr>
            <w:rStyle w:val="Hyperlink"/>
            <w:rFonts w:ascii="Futura" w:eastAsia="Calibri" w:hAnsi="Futura" w:cs="Calibri"/>
            <w:sz w:val="20"/>
            <w:szCs w:val="20"/>
            <w:lang w:bidi="en-US"/>
          </w:rPr>
          <w:t>https://www.accessdata.fda.gov/drugsatfda_docs/label/2020/125320s201lbl.pdf</w:t>
        </w:r>
      </w:hyperlink>
    </w:p>
    <w:p w14:paraId="57A5423B" w14:textId="6A6D350C" w:rsidR="00F41B3A" w:rsidRPr="008B66CF" w:rsidRDefault="00635D4D"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Evenity</w:t>
      </w:r>
      <w:r w:rsidR="00F41B3A">
        <w:rPr>
          <w:rFonts w:ascii="Futura" w:eastAsia="Calibri" w:hAnsi="Futura" w:cs="Calibri"/>
          <w:color w:val="000000"/>
          <w:sz w:val="20"/>
          <w:szCs w:val="20"/>
          <w:lang w:bidi="en-US"/>
        </w:rPr>
        <w:t xml:space="preserve"> package insert.  </w:t>
      </w:r>
      <w:hyperlink r:id="rId14" w:history="1">
        <w:r w:rsidR="00A36FA7">
          <w:rPr>
            <w:rStyle w:val="Hyperlink"/>
            <w:rFonts w:ascii="Futura" w:eastAsia="Calibri" w:hAnsi="Futura" w:cs="Calibri"/>
            <w:sz w:val="20"/>
            <w:szCs w:val="20"/>
            <w:lang w:bidi="en-US"/>
          </w:rPr>
          <w:t>https://www.accessdata.fda.gov/drugsatfda_docs/label/2019/761062s002lbl.pdf</w:t>
        </w:r>
      </w:hyperlink>
    </w:p>
    <w:p w14:paraId="2A62542D" w14:textId="0E05B082" w:rsidR="00FA7C17" w:rsidRPr="00F64756" w:rsidRDefault="00F64756"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eternalHealth Medicare Part B Prior Authorization List.  </w:t>
      </w:r>
      <w:hyperlink r:id="rId15"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6"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E31"/>
    <w:multiLevelType w:val="multilevel"/>
    <w:tmpl w:val="0960F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E5275"/>
    <w:multiLevelType w:val="multilevel"/>
    <w:tmpl w:val="20769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313D0"/>
    <w:multiLevelType w:val="multilevel"/>
    <w:tmpl w:val="8CB6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65964">
    <w:abstractNumId w:val="1"/>
  </w:num>
  <w:num w:numId="2" w16cid:durableId="31996377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2"/>
  </w:num>
  <w:num w:numId="4" w16cid:durableId="1138184515">
    <w:abstractNumId w:val="5"/>
  </w:num>
  <w:num w:numId="5" w16cid:durableId="1679431826">
    <w:abstractNumId w:val="5"/>
    <w:lvlOverride w:ilvl="3">
      <w:lvl w:ilvl="3">
        <w:numFmt w:val="bullet"/>
        <w:lvlText w:val=""/>
        <w:lvlJc w:val="left"/>
        <w:pPr>
          <w:tabs>
            <w:tab w:val="num" w:pos="2880"/>
          </w:tabs>
          <w:ind w:left="2880" w:hanging="360"/>
        </w:pPr>
        <w:rPr>
          <w:rFonts w:ascii="Symbol" w:hAnsi="Symbol" w:hint="default"/>
          <w:sz w:val="20"/>
        </w:rPr>
      </w:lvl>
    </w:lvlOverride>
  </w:num>
  <w:num w:numId="6" w16cid:durableId="158638087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 w16cid:durableId="8311067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8" w16cid:durableId="52398344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 w16cid:durableId="73690435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 w16cid:durableId="204899202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 w16cid:durableId="419642521">
    <w:abstractNumId w:val="5"/>
    <w:lvlOverride w:ilvl="3">
      <w:lvl w:ilvl="3">
        <w:numFmt w:val="bullet"/>
        <w:lvlText w:val=""/>
        <w:lvlJc w:val="left"/>
        <w:pPr>
          <w:tabs>
            <w:tab w:val="num" w:pos="2880"/>
          </w:tabs>
          <w:ind w:left="2880" w:hanging="360"/>
        </w:pPr>
        <w:rPr>
          <w:rFonts w:ascii="Symbol" w:hAnsi="Symbol" w:hint="default"/>
          <w:sz w:val="20"/>
        </w:rPr>
      </w:lvl>
    </w:lvlOverride>
  </w:num>
  <w:num w:numId="12" w16cid:durableId="89334981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 w16cid:durableId="32447367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4" w16cid:durableId="67076387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5" w16cid:durableId="130851138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6" w16cid:durableId="1507750415">
    <w:abstractNumId w:val="5"/>
    <w:lvlOverride w:ilvl="3">
      <w:lvl w:ilvl="3">
        <w:numFmt w:val="bullet"/>
        <w:lvlText w:val=""/>
        <w:lvlJc w:val="left"/>
        <w:pPr>
          <w:tabs>
            <w:tab w:val="num" w:pos="2880"/>
          </w:tabs>
          <w:ind w:left="2880" w:hanging="360"/>
        </w:pPr>
        <w:rPr>
          <w:rFonts w:ascii="Symbol" w:hAnsi="Symbol" w:hint="default"/>
          <w:sz w:val="20"/>
        </w:rPr>
      </w:lvl>
    </w:lvlOverride>
  </w:num>
  <w:num w:numId="17" w16cid:durableId="135194879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8" w16cid:durableId="23674324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9" w16cid:durableId="170598059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0" w16cid:durableId="80854685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1" w16cid:durableId="183429672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2" w16cid:durableId="154705885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3" w16cid:durableId="60778397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4" w16cid:durableId="1571454196">
    <w:abstractNumId w:val="5"/>
    <w:lvlOverride w:ilvl="3">
      <w:lvl w:ilvl="3">
        <w:numFmt w:val="bullet"/>
        <w:lvlText w:val=""/>
        <w:lvlJc w:val="left"/>
        <w:pPr>
          <w:tabs>
            <w:tab w:val="num" w:pos="2880"/>
          </w:tabs>
          <w:ind w:left="2880" w:hanging="360"/>
        </w:pPr>
        <w:rPr>
          <w:rFonts w:ascii="Symbol" w:hAnsi="Symbol" w:hint="default"/>
          <w:sz w:val="20"/>
        </w:rPr>
      </w:lvl>
    </w:lvlOverride>
  </w:num>
  <w:num w:numId="25" w16cid:durableId="6214800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6" w16cid:durableId="103003035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7" w16cid:durableId="972715141">
    <w:abstractNumId w:val="5"/>
    <w:lvlOverride w:ilvl="3">
      <w:lvl w:ilvl="3">
        <w:numFmt w:val="bullet"/>
        <w:lvlText w:val=""/>
        <w:lvlJc w:val="left"/>
        <w:pPr>
          <w:tabs>
            <w:tab w:val="num" w:pos="2880"/>
          </w:tabs>
          <w:ind w:left="2880" w:hanging="360"/>
        </w:pPr>
        <w:rPr>
          <w:rFonts w:ascii="Symbol" w:hAnsi="Symbol" w:hint="default"/>
          <w:sz w:val="20"/>
        </w:rPr>
      </w:lvl>
    </w:lvlOverride>
  </w:num>
  <w:num w:numId="28" w16cid:durableId="1703356486">
    <w:abstractNumId w:val="5"/>
    <w:lvlOverride w:ilvl="3">
      <w:lvl w:ilvl="3">
        <w:numFmt w:val="bullet"/>
        <w:lvlText w:val=""/>
        <w:lvlJc w:val="left"/>
        <w:pPr>
          <w:tabs>
            <w:tab w:val="num" w:pos="2880"/>
          </w:tabs>
          <w:ind w:left="2880" w:hanging="360"/>
        </w:pPr>
        <w:rPr>
          <w:rFonts w:ascii="Symbol" w:hAnsi="Symbol" w:hint="default"/>
          <w:sz w:val="20"/>
        </w:rPr>
      </w:lvl>
    </w:lvlOverride>
  </w:num>
  <w:num w:numId="29" w16cid:durableId="1018508621">
    <w:abstractNumId w:val="5"/>
    <w:lvlOverride w:ilvl="3">
      <w:lvl w:ilvl="3">
        <w:numFmt w:val="bullet"/>
        <w:lvlText w:val=""/>
        <w:lvlJc w:val="left"/>
        <w:pPr>
          <w:tabs>
            <w:tab w:val="num" w:pos="2880"/>
          </w:tabs>
          <w:ind w:left="2880" w:hanging="360"/>
        </w:pPr>
        <w:rPr>
          <w:rFonts w:ascii="Symbol" w:hAnsi="Symbol" w:hint="default"/>
          <w:sz w:val="20"/>
        </w:rPr>
      </w:lvl>
    </w:lvlOverride>
  </w:num>
  <w:num w:numId="30" w16cid:durableId="1470199401">
    <w:abstractNumId w:val="5"/>
    <w:lvlOverride w:ilvl="3">
      <w:lvl w:ilvl="3">
        <w:numFmt w:val="bullet"/>
        <w:lvlText w:val=""/>
        <w:lvlJc w:val="left"/>
        <w:pPr>
          <w:tabs>
            <w:tab w:val="num" w:pos="2880"/>
          </w:tabs>
          <w:ind w:left="2880" w:hanging="360"/>
        </w:pPr>
        <w:rPr>
          <w:rFonts w:ascii="Symbol" w:hAnsi="Symbol" w:hint="default"/>
          <w:sz w:val="20"/>
        </w:rPr>
      </w:lvl>
    </w:lvlOverride>
  </w:num>
  <w:num w:numId="31" w16cid:durableId="212680269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2" w16cid:durableId="114088188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3" w16cid:durableId="1275400470">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4" w16cid:durableId="109093459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5" w16cid:durableId="169090748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6" w16cid:durableId="1084953758">
    <w:abstractNumId w:val="5"/>
    <w:lvlOverride w:ilvl="3">
      <w:lvl w:ilvl="3">
        <w:numFmt w:val="bullet"/>
        <w:lvlText w:val=""/>
        <w:lvlJc w:val="left"/>
        <w:pPr>
          <w:tabs>
            <w:tab w:val="num" w:pos="2880"/>
          </w:tabs>
          <w:ind w:left="2880" w:hanging="360"/>
        </w:pPr>
        <w:rPr>
          <w:rFonts w:ascii="Symbol" w:hAnsi="Symbol" w:hint="default"/>
          <w:sz w:val="20"/>
        </w:rPr>
      </w:lvl>
    </w:lvlOverride>
  </w:num>
  <w:num w:numId="37" w16cid:durableId="917053331">
    <w:abstractNumId w:val="5"/>
    <w:lvlOverride w:ilvl="3">
      <w:lvl w:ilvl="3">
        <w:numFmt w:val="bullet"/>
        <w:lvlText w:val=""/>
        <w:lvlJc w:val="left"/>
        <w:pPr>
          <w:tabs>
            <w:tab w:val="num" w:pos="2880"/>
          </w:tabs>
          <w:ind w:left="2880" w:hanging="360"/>
        </w:pPr>
        <w:rPr>
          <w:rFonts w:ascii="Symbol" w:hAnsi="Symbol" w:hint="default"/>
          <w:sz w:val="20"/>
        </w:rPr>
      </w:lvl>
    </w:lvlOverride>
  </w:num>
  <w:num w:numId="38" w16cid:durableId="179201974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9" w16cid:durableId="32047176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0" w16cid:durableId="177891458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1" w16cid:durableId="237136687">
    <w:abstractNumId w:val="5"/>
    <w:lvlOverride w:ilvl="3">
      <w:lvl w:ilvl="3">
        <w:numFmt w:val="bullet"/>
        <w:lvlText w:val=""/>
        <w:lvlJc w:val="left"/>
        <w:pPr>
          <w:tabs>
            <w:tab w:val="num" w:pos="2880"/>
          </w:tabs>
          <w:ind w:left="2880" w:hanging="360"/>
        </w:pPr>
        <w:rPr>
          <w:rFonts w:ascii="Symbol" w:hAnsi="Symbol" w:hint="default"/>
          <w:sz w:val="20"/>
        </w:rPr>
      </w:lvl>
    </w:lvlOverride>
  </w:num>
  <w:num w:numId="42" w16cid:durableId="1260678473">
    <w:abstractNumId w:val="5"/>
    <w:lvlOverride w:ilvl="3">
      <w:lvl w:ilvl="3">
        <w:numFmt w:val="bullet"/>
        <w:lvlText w:val=""/>
        <w:lvlJc w:val="left"/>
        <w:pPr>
          <w:tabs>
            <w:tab w:val="num" w:pos="2880"/>
          </w:tabs>
          <w:ind w:left="2880" w:hanging="360"/>
        </w:pPr>
        <w:rPr>
          <w:rFonts w:ascii="Symbol" w:hAnsi="Symbol" w:hint="default"/>
          <w:sz w:val="20"/>
        </w:rPr>
      </w:lvl>
    </w:lvlOverride>
  </w:num>
  <w:num w:numId="43" w16cid:durableId="1197817766">
    <w:abstractNumId w:val="5"/>
    <w:lvlOverride w:ilvl="3">
      <w:lvl w:ilvl="3">
        <w:numFmt w:val="bullet"/>
        <w:lvlText w:val=""/>
        <w:lvlJc w:val="left"/>
        <w:pPr>
          <w:tabs>
            <w:tab w:val="num" w:pos="2880"/>
          </w:tabs>
          <w:ind w:left="2880" w:hanging="360"/>
        </w:pPr>
        <w:rPr>
          <w:rFonts w:ascii="Symbol" w:hAnsi="Symbol" w:hint="default"/>
          <w:sz w:val="20"/>
        </w:rPr>
      </w:lvl>
    </w:lvlOverride>
  </w:num>
  <w:num w:numId="44" w16cid:durableId="625281598">
    <w:abstractNumId w:val="5"/>
    <w:lvlOverride w:ilvl="3">
      <w:lvl w:ilvl="3">
        <w:numFmt w:val="bullet"/>
        <w:lvlText w:val=""/>
        <w:lvlJc w:val="left"/>
        <w:pPr>
          <w:tabs>
            <w:tab w:val="num" w:pos="2880"/>
          </w:tabs>
          <w:ind w:left="2880" w:hanging="360"/>
        </w:pPr>
        <w:rPr>
          <w:rFonts w:ascii="Symbol" w:hAnsi="Symbol" w:hint="default"/>
          <w:sz w:val="20"/>
        </w:rPr>
      </w:lvl>
    </w:lvlOverride>
  </w:num>
  <w:num w:numId="45" w16cid:durableId="1228809086">
    <w:abstractNumId w:val="5"/>
    <w:lvlOverride w:ilvl="3">
      <w:lvl w:ilvl="3">
        <w:numFmt w:val="bullet"/>
        <w:lvlText w:val=""/>
        <w:lvlJc w:val="left"/>
        <w:pPr>
          <w:tabs>
            <w:tab w:val="num" w:pos="2880"/>
          </w:tabs>
          <w:ind w:left="2880" w:hanging="360"/>
        </w:pPr>
        <w:rPr>
          <w:rFonts w:ascii="Symbol" w:hAnsi="Symbol" w:hint="default"/>
          <w:sz w:val="20"/>
        </w:rPr>
      </w:lvl>
    </w:lvlOverride>
  </w:num>
  <w:num w:numId="46" w16cid:durableId="55327846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7" w16cid:durableId="136112237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8" w16cid:durableId="190109553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9" w16cid:durableId="113063743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0" w16cid:durableId="109150902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1" w16cid:durableId="189458126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2" w16cid:durableId="79614466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3" w16cid:durableId="544566651">
    <w:abstractNumId w:val="5"/>
    <w:lvlOverride w:ilvl="3">
      <w:lvl w:ilvl="3">
        <w:numFmt w:val="bullet"/>
        <w:lvlText w:val=""/>
        <w:lvlJc w:val="left"/>
        <w:pPr>
          <w:tabs>
            <w:tab w:val="num" w:pos="2880"/>
          </w:tabs>
          <w:ind w:left="2880" w:hanging="360"/>
        </w:pPr>
        <w:rPr>
          <w:rFonts w:ascii="Symbol" w:hAnsi="Symbol" w:hint="default"/>
          <w:sz w:val="20"/>
        </w:rPr>
      </w:lvl>
    </w:lvlOverride>
  </w:num>
  <w:num w:numId="54" w16cid:durableId="1715881451">
    <w:abstractNumId w:val="5"/>
    <w:lvlOverride w:ilvl="3">
      <w:lvl w:ilvl="3">
        <w:numFmt w:val="bullet"/>
        <w:lvlText w:val=""/>
        <w:lvlJc w:val="left"/>
        <w:pPr>
          <w:tabs>
            <w:tab w:val="num" w:pos="2880"/>
          </w:tabs>
          <w:ind w:left="2880" w:hanging="360"/>
        </w:pPr>
        <w:rPr>
          <w:rFonts w:ascii="Symbol" w:hAnsi="Symbol" w:hint="default"/>
          <w:sz w:val="20"/>
        </w:rPr>
      </w:lvl>
    </w:lvlOverride>
  </w:num>
  <w:num w:numId="55" w16cid:durableId="150447152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6" w16cid:durableId="114361780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57" w16cid:durableId="162326796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58" w16cid:durableId="22406800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9" w16cid:durableId="68671293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60" w16cid:durableId="23582623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61" w16cid:durableId="87044015">
    <w:abstractNumId w:val="5"/>
    <w:lvlOverride w:ilvl="3">
      <w:lvl w:ilvl="3">
        <w:numFmt w:val="bullet"/>
        <w:lvlText w:val=""/>
        <w:lvlJc w:val="left"/>
        <w:pPr>
          <w:tabs>
            <w:tab w:val="num" w:pos="2880"/>
          </w:tabs>
          <w:ind w:left="2880" w:hanging="360"/>
        </w:pPr>
        <w:rPr>
          <w:rFonts w:ascii="Symbol" w:hAnsi="Symbol" w:hint="default"/>
          <w:sz w:val="20"/>
        </w:rPr>
      </w:lvl>
    </w:lvlOverride>
  </w:num>
  <w:num w:numId="62" w16cid:durableId="1814176839">
    <w:abstractNumId w:val="5"/>
    <w:lvlOverride w:ilvl="3">
      <w:lvl w:ilvl="3">
        <w:numFmt w:val="bullet"/>
        <w:lvlText w:val=""/>
        <w:lvlJc w:val="left"/>
        <w:pPr>
          <w:tabs>
            <w:tab w:val="num" w:pos="2880"/>
          </w:tabs>
          <w:ind w:left="2880" w:hanging="360"/>
        </w:pPr>
        <w:rPr>
          <w:rFonts w:ascii="Symbol" w:hAnsi="Symbol" w:hint="default"/>
          <w:sz w:val="20"/>
        </w:rPr>
      </w:lvl>
    </w:lvlOverride>
  </w:num>
  <w:num w:numId="63" w16cid:durableId="65422468">
    <w:abstractNumId w:val="5"/>
    <w:lvlOverride w:ilvl="3">
      <w:lvl w:ilvl="3">
        <w:numFmt w:val="bullet"/>
        <w:lvlText w:val=""/>
        <w:lvlJc w:val="left"/>
        <w:pPr>
          <w:tabs>
            <w:tab w:val="num" w:pos="2880"/>
          </w:tabs>
          <w:ind w:left="2880" w:hanging="360"/>
        </w:pPr>
        <w:rPr>
          <w:rFonts w:ascii="Symbol" w:hAnsi="Symbol" w:hint="default"/>
          <w:sz w:val="20"/>
        </w:rPr>
      </w:lvl>
    </w:lvlOverride>
  </w:num>
  <w:num w:numId="64" w16cid:durableId="413742358">
    <w:abstractNumId w:val="5"/>
    <w:lvlOverride w:ilvl="3">
      <w:lvl w:ilvl="3">
        <w:numFmt w:val="bullet"/>
        <w:lvlText w:val=""/>
        <w:lvlJc w:val="left"/>
        <w:pPr>
          <w:tabs>
            <w:tab w:val="num" w:pos="2880"/>
          </w:tabs>
          <w:ind w:left="2880" w:hanging="360"/>
        </w:pPr>
        <w:rPr>
          <w:rFonts w:ascii="Symbol" w:hAnsi="Symbol" w:hint="default"/>
          <w:sz w:val="20"/>
        </w:rPr>
      </w:lvl>
    </w:lvlOverride>
  </w:num>
  <w:num w:numId="65" w16cid:durableId="1973095795">
    <w:abstractNumId w:val="5"/>
    <w:lvlOverride w:ilvl="3">
      <w:lvl w:ilvl="3">
        <w:numFmt w:val="bullet"/>
        <w:lvlText w:val=""/>
        <w:lvlJc w:val="left"/>
        <w:pPr>
          <w:tabs>
            <w:tab w:val="num" w:pos="2880"/>
          </w:tabs>
          <w:ind w:left="2880" w:hanging="360"/>
        </w:pPr>
        <w:rPr>
          <w:rFonts w:ascii="Symbol" w:hAnsi="Symbol" w:hint="default"/>
          <w:sz w:val="20"/>
        </w:rPr>
      </w:lvl>
    </w:lvlOverride>
  </w:num>
  <w:num w:numId="66" w16cid:durableId="161435752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7" w16cid:durableId="81364603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8" w16cid:durableId="122358599">
    <w:abstractNumId w:val="0"/>
  </w:num>
  <w:num w:numId="69" w16cid:durableId="864517612">
    <w:abstractNumId w:val="0"/>
    <w:lvlOverride w:ilvl="3">
      <w:lvl w:ilvl="3">
        <w:numFmt w:val="bullet"/>
        <w:lvlText w:val=""/>
        <w:lvlJc w:val="left"/>
        <w:pPr>
          <w:tabs>
            <w:tab w:val="num" w:pos="2880"/>
          </w:tabs>
          <w:ind w:left="2880" w:hanging="360"/>
        </w:pPr>
        <w:rPr>
          <w:rFonts w:ascii="Symbol" w:hAnsi="Symbol" w:hint="default"/>
          <w:sz w:val="20"/>
        </w:rPr>
      </w:lvl>
    </w:lvlOverride>
  </w:num>
  <w:num w:numId="70" w16cid:durableId="920680940">
    <w:abstractNumId w:val="0"/>
    <w:lvlOverride w:ilvl="3">
      <w:lvl w:ilvl="3">
        <w:numFmt w:val="bullet"/>
        <w:lvlText w:val=""/>
        <w:lvlJc w:val="left"/>
        <w:pPr>
          <w:tabs>
            <w:tab w:val="num" w:pos="2880"/>
          </w:tabs>
          <w:ind w:left="2880" w:hanging="360"/>
        </w:pPr>
        <w:rPr>
          <w:rFonts w:ascii="Symbol" w:hAnsi="Symbol" w:hint="default"/>
          <w:sz w:val="20"/>
        </w:rPr>
      </w:lvl>
    </w:lvlOverride>
  </w:num>
  <w:num w:numId="71" w16cid:durableId="198596780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2" w16cid:durableId="646252052">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3" w16cid:durableId="2139563767">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4" w16cid:durableId="1608540802">
    <w:abstractNumId w:val="0"/>
    <w:lvlOverride w:ilvl="3">
      <w:lvl w:ilvl="3">
        <w:numFmt w:val="bullet"/>
        <w:lvlText w:val=""/>
        <w:lvlJc w:val="left"/>
        <w:pPr>
          <w:tabs>
            <w:tab w:val="num" w:pos="2880"/>
          </w:tabs>
          <w:ind w:left="2880" w:hanging="360"/>
        </w:pPr>
        <w:rPr>
          <w:rFonts w:ascii="Symbol" w:hAnsi="Symbol" w:hint="default"/>
          <w:sz w:val="20"/>
        </w:rPr>
      </w:lvl>
    </w:lvlOverride>
  </w:num>
  <w:num w:numId="75" w16cid:durableId="202462952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6" w16cid:durableId="958223563">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7" w16cid:durableId="439644134">
    <w:abstractNumId w:val="0"/>
    <w:lvlOverride w:ilvl="3">
      <w:lvl w:ilvl="3">
        <w:numFmt w:val="bullet"/>
        <w:lvlText w:val=""/>
        <w:lvlJc w:val="left"/>
        <w:pPr>
          <w:tabs>
            <w:tab w:val="num" w:pos="2880"/>
          </w:tabs>
          <w:ind w:left="2880" w:hanging="360"/>
        </w:pPr>
        <w:rPr>
          <w:rFonts w:ascii="Symbol" w:hAnsi="Symbol" w:hint="default"/>
          <w:sz w:val="20"/>
        </w:rPr>
      </w:lvl>
    </w:lvlOverride>
  </w:num>
  <w:num w:numId="78" w16cid:durableId="763918274">
    <w:abstractNumId w:val="0"/>
    <w:lvlOverride w:ilvl="3">
      <w:lvl w:ilvl="3">
        <w:numFmt w:val="bullet"/>
        <w:lvlText w:val=""/>
        <w:lvlJc w:val="left"/>
        <w:pPr>
          <w:tabs>
            <w:tab w:val="num" w:pos="2880"/>
          </w:tabs>
          <w:ind w:left="2880" w:hanging="360"/>
        </w:pPr>
        <w:rPr>
          <w:rFonts w:ascii="Symbol" w:hAnsi="Symbol" w:hint="default"/>
          <w:sz w:val="20"/>
        </w:rPr>
      </w:lvl>
    </w:lvlOverride>
  </w:num>
  <w:num w:numId="79" w16cid:durableId="319583913">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0" w16cid:durableId="184963556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1" w16cid:durableId="1045713373">
    <w:abstractNumId w:val="0"/>
    <w:lvlOverride w:ilvl="3">
      <w:lvl w:ilvl="3">
        <w:numFmt w:val="bullet"/>
        <w:lvlText w:val=""/>
        <w:lvlJc w:val="left"/>
        <w:pPr>
          <w:tabs>
            <w:tab w:val="num" w:pos="2880"/>
          </w:tabs>
          <w:ind w:left="2880" w:hanging="360"/>
        </w:pPr>
        <w:rPr>
          <w:rFonts w:ascii="Symbol" w:hAnsi="Symbol" w:hint="default"/>
          <w:sz w:val="20"/>
        </w:rPr>
      </w:lvl>
    </w:lvlOverride>
  </w:num>
  <w:num w:numId="82" w16cid:durableId="583564385">
    <w:abstractNumId w:val="0"/>
    <w:lvlOverride w:ilvl="3">
      <w:lvl w:ilvl="3">
        <w:numFmt w:val="bullet"/>
        <w:lvlText w:val=""/>
        <w:lvlJc w:val="left"/>
        <w:pPr>
          <w:tabs>
            <w:tab w:val="num" w:pos="2880"/>
          </w:tabs>
          <w:ind w:left="2880" w:hanging="360"/>
        </w:pPr>
        <w:rPr>
          <w:rFonts w:ascii="Symbol" w:hAnsi="Symbol" w:hint="default"/>
          <w:sz w:val="20"/>
        </w:rPr>
      </w:lvl>
    </w:lvlOverride>
  </w:num>
  <w:num w:numId="83" w16cid:durableId="1582374441">
    <w:abstractNumId w:val="0"/>
    <w:lvlOverride w:ilvl="3">
      <w:lvl w:ilvl="3">
        <w:numFmt w:val="bullet"/>
        <w:lvlText w:val=""/>
        <w:lvlJc w:val="left"/>
        <w:pPr>
          <w:tabs>
            <w:tab w:val="num" w:pos="2880"/>
          </w:tabs>
          <w:ind w:left="2880" w:hanging="360"/>
        </w:pPr>
        <w:rPr>
          <w:rFonts w:ascii="Symbol" w:hAnsi="Symbol" w:hint="default"/>
          <w:sz w:val="20"/>
        </w:rPr>
      </w:lvl>
    </w:lvlOverride>
  </w:num>
  <w:num w:numId="84" w16cid:durableId="1682392662">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5" w16cid:durableId="1554656388">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6" w16cid:durableId="569773687">
    <w:abstractNumId w:val="0"/>
    <w:lvlOverride w:ilvl="3">
      <w:lvl w:ilvl="3">
        <w:numFmt w:val="bullet"/>
        <w:lvlText w:val=""/>
        <w:lvlJc w:val="left"/>
        <w:pPr>
          <w:tabs>
            <w:tab w:val="num" w:pos="2880"/>
          </w:tabs>
          <w:ind w:left="2880" w:hanging="360"/>
        </w:pPr>
        <w:rPr>
          <w:rFonts w:ascii="Symbol" w:hAnsi="Symbol" w:hint="default"/>
          <w:sz w:val="20"/>
        </w:rPr>
      </w:lvl>
    </w:lvlOverride>
  </w:num>
  <w:num w:numId="87" w16cid:durableId="1607348288">
    <w:abstractNumId w:val="0"/>
    <w:lvlOverride w:ilvl="3">
      <w:lvl w:ilvl="3">
        <w:numFmt w:val="bullet"/>
        <w:lvlText w:val=""/>
        <w:lvlJc w:val="left"/>
        <w:pPr>
          <w:tabs>
            <w:tab w:val="num" w:pos="2880"/>
          </w:tabs>
          <w:ind w:left="2880" w:hanging="360"/>
        </w:pPr>
        <w:rPr>
          <w:rFonts w:ascii="Symbol" w:hAnsi="Symbol" w:hint="default"/>
          <w:sz w:val="20"/>
        </w:rPr>
      </w:lvl>
    </w:lvlOverride>
  </w:num>
  <w:num w:numId="88" w16cid:durableId="1559630578">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9" w16cid:durableId="109925513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0" w16cid:durableId="1751996624">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1" w16cid:durableId="1285115311">
    <w:abstractNumId w:val="0"/>
    <w:lvlOverride w:ilvl="3">
      <w:lvl w:ilvl="3">
        <w:numFmt w:val="bullet"/>
        <w:lvlText w:val=""/>
        <w:lvlJc w:val="left"/>
        <w:pPr>
          <w:tabs>
            <w:tab w:val="num" w:pos="2880"/>
          </w:tabs>
          <w:ind w:left="2880" w:hanging="360"/>
        </w:pPr>
        <w:rPr>
          <w:rFonts w:ascii="Symbol" w:hAnsi="Symbol" w:hint="default"/>
          <w:sz w:val="20"/>
        </w:rPr>
      </w:lvl>
    </w:lvlOverride>
  </w:num>
  <w:num w:numId="92" w16cid:durableId="209088117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3" w16cid:durableId="36709944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4" w16cid:durableId="1763334081">
    <w:abstractNumId w:val="0"/>
    <w:lvlOverride w:ilvl="3">
      <w:lvl w:ilvl="3">
        <w:numFmt w:val="bullet"/>
        <w:lvlText w:val=""/>
        <w:lvlJc w:val="left"/>
        <w:pPr>
          <w:tabs>
            <w:tab w:val="num" w:pos="2880"/>
          </w:tabs>
          <w:ind w:left="2880" w:hanging="360"/>
        </w:pPr>
        <w:rPr>
          <w:rFonts w:ascii="Symbol" w:hAnsi="Symbol" w:hint="default"/>
          <w:sz w:val="20"/>
        </w:rPr>
      </w:lvl>
    </w:lvlOverride>
  </w:num>
  <w:num w:numId="95" w16cid:durableId="659314542">
    <w:abstractNumId w:val="0"/>
    <w:lvlOverride w:ilvl="3">
      <w:lvl w:ilvl="3">
        <w:numFmt w:val="bullet"/>
        <w:lvlText w:val=""/>
        <w:lvlJc w:val="left"/>
        <w:pPr>
          <w:tabs>
            <w:tab w:val="num" w:pos="2880"/>
          </w:tabs>
          <w:ind w:left="2880" w:hanging="360"/>
        </w:pPr>
        <w:rPr>
          <w:rFonts w:ascii="Symbol" w:hAnsi="Symbol" w:hint="default"/>
          <w:sz w:val="20"/>
        </w:rPr>
      </w:lvl>
    </w:lvlOverride>
  </w:num>
  <w:num w:numId="96" w16cid:durableId="88456495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7" w16cid:durableId="287513056">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8" w16cid:durableId="150963945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9" w16cid:durableId="487480267">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0" w16cid:durableId="1946645276">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1" w16cid:durableId="191820330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2" w16cid:durableId="1506824824">
    <w:abstractNumId w:val="3"/>
  </w:num>
  <w:num w:numId="103" w16cid:durableId="1027020764">
    <w:abstractNumId w:val="3"/>
    <w:lvlOverride w:ilvl="3">
      <w:lvl w:ilvl="3">
        <w:numFmt w:val="bullet"/>
        <w:lvlText w:val=""/>
        <w:lvlJc w:val="left"/>
        <w:pPr>
          <w:tabs>
            <w:tab w:val="num" w:pos="2880"/>
          </w:tabs>
          <w:ind w:left="2880" w:hanging="360"/>
        </w:pPr>
        <w:rPr>
          <w:rFonts w:ascii="Symbol" w:hAnsi="Symbol" w:hint="default"/>
          <w:sz w:val="20"/>
        </w:rPr>
      </w:lvl>
    </w:lvlOverride>
  </w:num>
  <w:num w:numId="104" w16cid:durableId="38627573">
    <w:abstractNumId w:val="3"/>
    <w:lvlOverride w:ilvl="3">
      <w:lvl w:ilvl="3">
        <w:numFmt w:val="bullet"/>
        <w:lvlText w:val=""/>
        <w:lvlJc w:val="left"/>
        <w:pPr>
          <w:tabs>
            <w:tab w:val="num" w:pos="2880"/>
          </w:tabs>
          <w:ind w:left="2880" w:hanging="360"/>
        </w:pPr>
        <w:rPr>
          <w:rFonts w:ascii="Symbol" w:hAnsi="Symbol" w:hint="default"/>
          <w:sz w:val="20"/>
        </w:rPr>
      </w:lvl>
    </w:lvlOverride>
  </w:num>
  <w:num w:numId="105" w16cid:durableId="1624269938">
    <w:abstractNumId w:val="3"/>
    <w:lvlOverride w:ilvl="3">
      <w:lvl w:ilvl="3">
        <w:numFmt w:val="bullet"/>
        <w:lvlText w:val=""/>
        <w:lvlJc w:val="left"/>
        <w:pPr>
          <w:tabs>
            <w:tab w:val="num" w:pos="2880"/>
          </w:tabs>
          <w:ind w:left="2880" w:hanging="360"/>
        </w:pPr>
        <w:rPr>
          <w:rFonts w:ascii="Symbol" w:hAnsi="Symbol" w:hint="default"/>
          <w:sz w:val="20"/>
        </w:rPr>
      </w:lvl>
    </w:lvlOverride>
  </w:num>
  <w:num w:numId="106" w16cid:durableId="179694899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7" w16cid:durableId="131710732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8" w16cid:durableId="165787889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9" w16cid:durableId="1815679631">
    <w:abstractNumId w:val="3"/>
    <w:lvlOverride w:ilvl="3">
      <w:lvl w:ilvl="3">
        <w:numFmt w:val="bullet"/>
        <w:lvlText w:val=""/>
        <w:lvlJc w:val="left"/>
        <w:pPr>
          <w:tabs>
            <w:tab w:val="num" w:pos="2880"/>
          </w:tabs>
          <w:ind w:left="2880" w:hanging="360"/>
        </w:pPr>
        <w:rPr>
          <w:rFonts w:ascii="Symbol" w:hAnsi="Symbol" w:hint="default"/>
          <w:sz w:val="20"/>
        </w:rPr>
      </w:lvl>
    </w:lvlOverride>
  </w:num>
  <w:num w:numId="110" w16cid:durableId="155905493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1" w16cid:durableId="168856141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2" w16cid:durableId="1775586882">
    <w:abstractNumId w:val="3"/>
    <w:lvlOverride w:ilvl="3">
      <w:lvl w:ilvl="3">
        <w:numFmt w:val="bullet"/>
        <w:lvlText w:val=""/>
        <w:lvlJc w:val="left"/>
        <w:pPr>
          <w:tabs>
            <w:tab w:val="num" w:pos="2880"/>
          </w:tabs>
          <w:ind w:left="2880" w:hanging="360"/>
        </w:pPr>
        <w:rPr>
          <w:rFonts w:ascii="Symbol" w:hAnsi="Symbol" w:hint="default"/>
          <w:sz w:val="20"/>
        </w:rPr>
      </w:lvl>
    </w:lvlOverride>
  </w:num>
  <w:num w:numId="113" w16cid:durableId="965349423">
    <w:abstractNumId w:val="3"/>
    <w:lvlOverride w:ilvl="3">
      <w:lvl w:ilvl="3">
        <w:numFmt w:val="bullet"/>
        <w:lvlText w:val=""/>
        <w:lvlJc w:val="left"/>
        <w:pPr>
          <w:tabs>
            <w:tab w:val="num" w:pos="2880"/>
          </w:tabs>
          <w:ind w:left="2880" w:hanging="360"/>
        </w:pPr>
        <w:rPr>
          <w:rFonts w:ascii="Symbol" w:hAnsi="Symbol" w:hint="default"/>
          <w:sz w:val="20"/>
        </w:rPr>
      </w:lvl>
    </w:lvlOverride>
  </w:num>
  <w:num w:numId="114" w16cid:durableId="1564755790">
    <w:abstractNumId w:val="3"/>
    <w:lvlOverride w:ilvl="3">
      <w:lvl w:ilvl="3">
        <w:numFmt w:val="bullet"/>
        <w:lvlText w:val=""/>
        <w:lvlJc w:val="left"/>
        <w:pPr>
          <w:tabs>
            <w:tab w:val="num" w:pos="2880"/>
          </w:tabs>
          <w:ind w:left="2880" w:hanging="360"/>
        </w:pPr>
        <w:rPr>
          <w:rFonts w:ascii="Symbol" w:hAnsi="Symbol" w:hint="default"/>
          <w:sz w:val="20"/>
        </w:rPr>
      </w:lvl>
    </w:lvlOverride>
  </w:num>
  <w:num w:numId="115" w16cid:durableId="184466348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6" w16cid:durableId="187269330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7" w16cid:durableId="33623023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8" w16cid:durableId="2053266772">
    <w:abstractNumId w:val="3"/>
    <w:lvlOverride w:ilvl="3">
      <w:lvl w:ilvl="3">
        <w:numFmt w:val="bullet"/>
        <w:lvlText w:val=""/>
        <w:lvlJc w:val="left"/>
        <w:pPr>
          <w:tabs>
            <w:tab w:val="num" w:pos="2880"/>
          </w:tabs>
          <w:ind w:left="2880" w:hanging="360"/>
        </w:pPr>
        <w:rPr>
          <w:rFonts w:ascii="Symbol" w:hAnsi="Symbol" w:hint="default"/>
          <w:sz w:val="20"/>
        </w:rPr>
      </w:lvl>
    </w:lvlOverride>
  </w:num>
  <w:num w:numId="119" w16cid:durableId="196006219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0" w16cid:durableId="33418699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1" w16cid:durableId="759446085">
    <w:abstractNumId w:val="3"/>
    <w:lvlOverride w:ilvl="3">
      <w:lvl w:ilvl="3">
        <w:numFmt w:val="bullet"/>
        <w:lvlText w:val=""/>
        <w:lvlJc w:val="left"/>
        <w:pPr>
          <w:tabs>
            <w:tab w:val="num" w:pos="2880"/>
          </w:tabs>
          <w:ind w:left="2880" w:hanging="360"/>
        </w:pPr>
        <w:rPr>
          <w:rFonts w:ascii="Symbol" w:hAnsi="Symbol" w:hint="default"/>
          <w:sz w:val="20"/>
        </w:rPr>
      </w:lvl>
    </w:lvlOverride>
  </w:num>
  <w:num w:numId="122" w16cid:durableId="238752679">
    <w:abstractNumId w:val="3"/>
    <w:lvlOverride w:ilvl="3">
      <w:lvl w:ilvl="3">
        <w:numFmt w:val="bullet"/>
        <w:lvlText w:val=""/>
        <w:lvlJc w:val="left"/>
        <w:pPr>
          <w:tabs>
            <w:tab w:val="num" w:pos="2880"/>
          </w:tabs>
          <w:ind w:left="2880" w:hanging="360"/>
        </w:pPr>
        <w:rPr>
          <w:rFonts w:ascii="Symbol" w:hAnsi="Symbol" w:hint="default"/>
          <w:sz w:val="20"/>
        </w:rPr>
      </w:lvl>
    </w:lvlOverride>
  </w:num>
  <w:num w:numId="123" w16cid:durableId="1876652483">
    <w:abstractNumId w:val="3"/>
    <w:lvlOverride w:ilvl="3">
      <w:lvl w:ilvl="3">
        <w:numFmt w:val="bullet"/>
        <w:lvlText w:val=""/>
        <w:lvlJc w:val="left"/>
        <w:pPr>
          <w:tabs>
            <w:tab w:val="num" w:pos="2880"/>
          </w:tabs>
          <w:ind w:left="2880" w:hanging="360"/>
        </w:pPr>
        <w:rPr>
          <w:rFonts w:ascii="Symbol" w:hAnsi="Symbol" w:hint="default"/>
          <w:sz w:val="20"/>
        </w:rPr>
      </w:lvl>
    </w:lvlOverride>
  </w:num>
  <w:num w:numId="124" w16cid:durableId="186747638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5" w16cid:durableId="23910118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6" w16cid:durableId="1966539816">
    <w:abstractNumId w:val="3"/>
    <w:lvlOverride w:ilvl="3">
      <w:lvl w:ilvl="3">
        <w:numFmt w:val="bullet"/>
        <w:lvlText w:val=""/>
        <w:lvlJc w:val="left"/>
        <w:pPr>
          <w:tabs>
            <w:tab w:val="num" w:pos="2880"/>
          </w:tabs>
          <w:ind w:left="2880" w:hanging="360"/>
        </w:pPr>
        <w:rPr>
          <w:rFonts w:ascii="Symbol" w:hAnsi="Symbol" w:hint="default"/>
          <w:sz w:val="20"/>
        </w:rPr>
      </w:lvl>
    </w:lvlOverride>
  </w:num>
  <w:num w:numId="127" w16cid:durableId="875849974">
    <w:abstractNumId w:val="3"/>
    <w:lvlOverride w:ilvl="3">
      <w:lvl w:ilvl="3">
        <w:numFmt w:val="bullet"/>
        <w:lvlText w:val=""/>
        <w:lvlJc w:val="left"/>
        <w:pPr>
          <w:tabs>
            <w:tab w:val="num" w:pos="2880"/>
          </w:tabs>
          <w:ind w:left="2880" w:hanging="360"/>
        </w:pPr>
        <w:rPr>
          <w:rFonts w:ascii="Symbol" w:hAnsi="Symbol" w:hint="default"/>
          <w:sz w:val="20"/>
        </w:rPr>
      </w:lvl>
    </w:lvlOverride>
  </w:num>
  <w:num w:numId="128" w16cid:durableId="1558711095">
    <w:abstractNumId w:val="3"/>
    <w:lvlOverride w:ilvl="3">
      <w:lvl w:ilvl="3">
        <w:numFmt w:val="bullet"/>
        <w:lvlText w:val=""/>
        <w:lvlJc w:val="left"/>
        <w:pPr>
          <w:tabs>
            <w:tab w:val="num" w:pos="2880"/>
          </w:tabs>
          <w:ind w:left="2880" w:hanging="360"/>
        </w:pPr>
        <w:rPr>
          <w:rFonts w:ascii="Symbol" w:hAnsi="Symbol" w:hint="default"/>
          <w:sz w:val="20"/>
        </w:rPr>
      </w:lvl>
    </w:lvlOverride>
  </w:num>
  <w:num w:numId="129" w16cid:durableId="187839595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0" w16cid:durableId="95822616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1" w16cid:durableId="146482831">
    <w:abstractNumId w:val="3"/>
    <w:lvlOverride w:ilvl="3">
      <w:lvl w:ilvl="3">
        <w:numFmt w:val="bullet"/>
        <w:lvlText w:val=""/>
        <w:lvlJc w:val="left"/>
        <w:pPr>
          <w:tabs>
            <w:tab w:val="num" w:pos="2880"/>
          </w:tabs>
          <w:ind w:left="2880" w:hanging="360"/>
        </w:pPr>
        <w:rPr>
          <w:rFonts w:ascii="Symbol" w:hAnsi="Symbol" w:hint="default"/>
          <w:sz w:val="20"/>
        </w:rPr>
      </w:lvl>
    </w:lvlOverride>
  </w:num>
  <w:num w:numId="132" w16cid:durableId="121655466">
    <w:abstractNumId w:val="3"/>
    <w:lvlOverride w:ilvl="3">
      <w:lvl w:ilvl="3">
        <w:numFmt w:val="bullet"/>
        <w:lvlText w:val=""/>
        <w:lvlJc w:val="left"/>
        <w:pPr>
          <w:tabs>
            <w:tab w:val="num" w:pos="2880"/>
          </w:tabs>
          <w:ind w:left="2880" w:hanging="360"/>
        </w:pPr>
        <w:rPr>
          <w:rFonts w:ascii="Symbol" w:hAnsi="Symbol" w:hint="default"/>
          <w:sz w:val="20"/>
        </w:rPr>
      </w:lvl>
    </w:lvlOverride>
  </w:num>
  <w:num w:numId="133" w16cid:durableId="10618030">
    <w:abstractNumId w:val="3"/>
    <w:lvlOverride w:ilvl="3">
      <w:lvl w:ilvl="3">
        <w:numFmt w:val="bullet"/>
        <w:lvlText w:val=""/>
        <w:lvlJc w:val="left"/>
        <w:pPr>
          <w:tabs>
            <w:tab w:val="num" w:pos="2880"/>
          </w:tabs>
          <w:ind w:left="2880" w:hanging="360"/>
        </w:pPr>
        <w:rPr>
          <w:rFonts w:ascii="Symbol" w:hAnsi="Symbol" w:hint="default"/>
          <w:sz w:val="20"/>
        </w:rPr>
      </w:lvl>
    </w:lvlOverride>
  </w:num>
  <w:num w:numId="134" w16cid:durableId="873273705">
    <w:abstractNumId w:val="3"/>
    <w:lvlOverride w:ilvl="3">
      <w:lvl w:ilvl="3">
        <w:numFmt w:val="bullet"/>
        <w:lvlText w:val=""/>
        <w:lvlJc w:val="left"/>
        <w:pPr>
          <w:tabs>
            <w:tab w:val="num" w:pos="2880"/>
          </w:tabs>
          <w:ind w:left="2880" w:hanging="360"/>
        </w:pPr>
        <w:rPr>
          <w:rFonts w:ascii="Symbol" w:hAnsi="Symbol" w:hint="default"/>
          <w:sz w:val="20"/>
        </w:rPr>
      </w:lvl>
    </w:lvlOverride>
  </w:num>
  <w:num w:numId="135" w16cid:durableId="19563024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6" w16cid:durableId="211840148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7" w16cid:durableId="54075360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8" w16cid:durableId="128654786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9" w16cid:durableId="1374958012">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0" w16cid:durableId="162169284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1" w16cid:durableId="205901528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2" w16cid:durableId="98789987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3" w16cid:durableId="81888478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4" w16cid:durableId="322242113">
    <w:abstractNumId w:val="3"/>
    <w:lvlOverride w:ilvl="3">
      <w:lvl w:ilvl="3">
        <w:numFmt w:val="bullet"/>
        <w:lvlText w:val=""/>
        <w:lvlJc w:val="left"/>
        <w:pPr>
          <w:tabs>
            <w:tab w:val="num" w:pos="2880"/>
          </w:tabs>
          <w:ind w:left="2880" w:hanging="360"/>
        </w:pPr>
        <w:rPr>
          <w:rFonts w:ascii="Symbol" w:hAnsi="Symbol" w:hint="default"/>
          <w:sz w:val="20"/>
        </w:rPr>
      </w:lvl>
    </w:lvlOverride>
  </w:num>
  <w:num w:numId="145" w16cid:durableId="1692410762">
    <w:abstractNumId w:val="3"/>
    <w:lvlOverride w:ilvl="3">
      <w:lvl w:ilvl="3">
        <w:numFmt w:val="bullet"/>
        <w:lvlText w:val=""/>
        <w:lvlJc w:val="left"/>
        <w:pPr>
          <w:tabs>
            <w:tab w:val="num" w:pos="2880"/>
          </w:tabs>
          <w:ind w:left="2880" w:hanging="360"/>
        </w:pPr>
        <w:rPr>
          <w:rFonts w:ascii="Symbol" w:hAnsi="Symbol" w:hint="default"/>
          <w:sz w:val="20"/>
        </w:rPr>
      </w:lvl>
    </w:lvlOverride>
  </w:num>
  <w:num w:numId="146" w16cid:durableId="1281571620">
    <w:abstractNumId w:val="3"/>
    <w:lvlOverride w:ilvl="3">
      <w:lvl w:ilvl="3">
        <w:numFmt w:val="bullet"/>
        <w:lvlText w:val=""/>
        <w:lvlJc w:val="left"/>
        <w:pPr>
          <w:tabs>
            <w:tab w:val="num" w:pos="2880"/>
          </w:tabs>
          <w:ind w:left="2880" w:hanging="360"/>
        </w:pPr>
        <w:rPr>
          <w:rFonts w:ascii="Symbol" w:hAnsi="Symbol" w:hint="default"/>
          <w:sz w:val="20"/>
        </w:rPr>
      </w:lvl>
    </w:lvlOverride>
  </w:num>
  <w:num w:numId="147" w16cid:durableId="559823621">
    <w:abstractNumId w:val="3"/>
    <w:lvlOverride w:ilvl="3">
      <w:lvl w:ilvl="3">
        <w:numFmt w:val="bullet"/>
        <w:lvlText w:val=""/>
        <w:lvlJc w:val="left"/>
        <w:pPr>
          <w:tabs>
            <w:tab w:val="num" w:pos="2880"/>
          </w:tabs>
          <w:ind w:left="2880" w:hanging="360"/>
        </w:pPr>
        <w:rPr>
          <w:rFonts w:ascii="Symbol" w:hAnsi="Symbol" w:hint="default"/>
          <w:sz w:val="20"/>
        </w:rPr>
      </w:lvl>
    </w:lvlOverride>
  </w:num>
  <w:num w:numId="148" w16cid:durableId="664750668">
    <w:abstractNumId w:val="3"/>
    <w:lvlOverride w:ilvl="3">
      <w:lvl w:ilvl="3">
        <w:numFmt w:val="bullet"/>
        <w:lvlText w:val=""/>
        <w:lvlJc w:val="left"/>
        <w:pPr>
          <w:tabs>
            <w:tab w:val="num" w:pos="2880"/>
          </w:tabs>
          <w:ind w:left="2880" w:hanging="360"/>
        </w:pPr>
        <w:rPr>
          <w:rFonts w:ascii="Symbol" w:hAnsi="Symbol" w:hint="default"/>
          <w:sz w:val="20"/>
        </w:rPr>
      </w:lvl>
    </w:lvlOverride>
  </w:num>
  <w:num w:numId="149" w16cid:durableId="456025838">
    <w:abstractNumId w:val="3"/>
    <w:lvlOverride w:ilvl="3">
      <w:lvl w:ilvl="3">
        <w:numFmt w:val="bullet"/>
        <w:lvlText w:val=""/>
        <w:lvlJc w:val="left"/>
        <w:pPr>
          <w:tabs>
            <w:tab w:val="num" w:pos="2880"/>
          </w:tabs>
          <w:ind w:left="2880" w:hanging="360"/>
        </w:pPr>
        <w:rPr>
          <w:rFonts w:ascii="Symbol" w:hAnsi="Symbol" w:hint="default"/>
          <w:sz w:val="20"/>
        </w:rPr>
      </w:lvl>
    </w:lvlOverride>
  </w:num>
  <w:num w:numId="150" w16cid:durableId="339088055">
    <w:abstractNumId w:val="3"/>
    <w:lvlOverride w:ilvl="3">
      <w:lvl w:ilvl="3">
        <w:numFmt w:val="bullet"/>
        <w:lvlText w:val=""/>
        <w:lvlJc w:val="left"/>
        <w:pPr>
          <w:tabs>
            <w:tab w:val="num" w:pos="2880"/>
          </w:tabs>
          <w:ind w:left="2880" w:hanging="360"/>
        </w:pPr>
        <w:rPr>
          <w:rFonts w:ascii="Symbol" w:hAnsi="Symbol" w:hint="default"/>
          <w:sz w:val="20"/>
        </w:rPr>
      </w:lvl>
    </w:lvlOverride>
  </w:num>
  <w:num w:numId="151" w16cid:durableId="188033322">
    <w:abstractNumId w:val="3"/>
    <w:lvlOverride w:ilvl="3">
      <w:lvl w:ilvl="3">
        <w:numFmt w:val="bullet"/>
        <w:lvlText w:val=""/>
        <w:lvlJc w:val="left"/>
        <w:pPr>
          <w:tabs>
            <w:tab w:val="num" w:pos="2880"/>
          </w:tabs>
          <w:ind w:left="2880" w:hanging="360"/>
        </w:pPr>
        <w:rPr>
          <w:rFonts w:ascii="Symbol" w:hAnsi="Symbol" w:hint="default"/>
          <w:sz w:val="20"/>
        </w:rPr>
      </w:lvl>
    </w:lvlOverride>
  </w:num>
  <w:num w:numId="152" w16cid:durableId="515772527">
    <w:abstractNumId w:val="3"/>
    <w:lvlOverride w:ilvl="3">
      <w:lvl w:ilvl="3">
        <w:numFmt w:val="bullet"/>
        <w:lvlText w:val=""/>
        <w:lvlJc w:val="left"/>
        <w:pPr>
          <w:tabs>
            <w:tab w:val="num" w:pos="2880"/>
          </w:tabs>
          <w:ind w:left="2880" w:hanging="360"/>
        </w:pPr>
        <w:rPr>
          <w:rFonts w:ascii="Symbol" w:hAnsi="Symbol" w:hint="default"/>
          <w:sz w:val="20"/>
        </w:rPr>
      </w:lvl>
    </w:lvlOverride>
  </w:num>
  <w:num w:numId="153" w16cid:durableId="129795275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4" w16cid:durableId="197389780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5" w16cid:durableId="60426972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6" w16cid:durableId="2055889540">
    <w:abstractNumId w:val="3"/>
    <w:lvlOverride w:ilvl="3">
      <w:lvl w:ilvl="3">
        <w:numFmt w:val="bullet"/>
        <w:lvlText w:val=""/>
        <w:lvlJc w:val="left"/>
        <w:pPr>
          <w:tabs>
            <w:tab w:val="num" w:pos="2880"/>
          </w:tabs>
          <w:ind w:left="2880" w:hanging="360"/>
        </w:pPr>
        <w:rPr>
          <w:rFonts w:ascii="Symbol" w:hAnsi="Symbol" w:hint="default"/>
          <w:sz w:val="20"/>
        </w:rPr>
      </w:lvl>
    </w:lvlOverride>
  </w:num>
  <w:num w:numId="157" w16cid:durableId="77726300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8" w16cid:durableId="200350749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9" w16cid:durableId="140503339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60" w16cid:durableId="361593312">
    <w:abstractNumId w:val="3"/>
    <w:lvlOverride w:ilvl="3">
      <w:lvl w:ilvl="3">
        <w:numFmt w:val="bullet"/>
        <w:lvlText w:val=""/>
        <w:lvlJc w:val="left"/>
        <w:pPr>
          <w:tabs>
            <w:tab w:val="num" w:pos="2880"/>
          </w:tabs>
          <w:ind w:left="2880" w:hanging="360"/>
        </w:pPr>
        <w:rPr>
          <w:rFonts w:ascii="Symbol" w:hAnsi="Symbol" w:hint="default"/>
          <w:sz w:val="20"/>
        </w:rPr>
      </w:lvl>
    </w:lvlOverride>
  </w:num>
  <w:num w:numId="161" w16cid:durableId="1226143123">
    <w:abstractNumId w:val="3"/>
    <w:lvlOverride w:ilvl="3">
      <w:lvl w:ilvl="3">
        <w:numFmt w:val="bullet"/>
        <w:lvlText w:val=""/>
        <w:lvlJc w:val="left"/>
        <w:pPr>
          <w:tabs>
            <w:tab w:val="num" w:pos="2880"/>
          </w:tabs>
          <w:ind w:left="2880" w:hanging="360"/>
        </w:pPr>
        <w:rPr>
          <w:rFonts w:ascii="Symbol" w:hAnsi="Symbol" w:hint="default"/>
          <w:sz w:val="20"/>
        </w:rPr>
      </w:lvl>
    </w:lvlOverride>
  </w:num>
  <w:num w:numId="162" w16cid:durableId="963344015">
    <w:abstractNumId w:val="3"/>
    <w:lvlOverride w:ilvl="3">
      <w:lvl w:ilvl="3">
        <w:numFmt w:val="bullet"/>
        <w:lvlText w:val=""/>
        <w:lvlJc w:val="left"/>
        <w:pPr>
          <w:tabs>
            <w:tab w:val="num" w:pos="2880"/>
          </w:tabs>
          <w:ind w:left="2880" w:hanging="360"/>
        </w:pPr>
        <w:rPr>
          <w:rFonts w:ascii="Symbol" w:hAnsi="Symbol" w:hint="default"/>
          <w:sz w:val="20"/>
        </w:rPr>
      </w:lvl>
    </w:lvlOverride>
  </w:num>
  <w:num w:numId="163" w16cid:durableId="1717003795">
    <w:abstractNumId w:val="3"/>
    <w:lvlOverride w:ilvl="3">
      <w:lvl w:ilvl="3">
        <w:numFmt w:val="bullet"/>
        <w:lvlText w:val=""/>
        <w:lvlJc w:val="left"/>
        <w:pPr>
          <w:tabs>
            <w:tab w:val="num" w:pos="2880"/>
          </w:tabs>
          <w:ind w:left="2880" w:hanging="360"/>
        </w:pPr>
        <w:rPr>
          <w:rFonts w:ascii="Symbol" w:hAnsi="Symbol" w:hint="default"/>
          <w:sz w:val="20"/>
        </w:rPr>
      </w:lvl>
    </w:lvlOverride>
  </w:num>
  <w:num w:numId="164" w16cid:durableId="32778460">
    <w:abstractNumId w:val="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0289"/>
    <w:rsid w:val="00002194"/>
    <w:rsid w:val="00002541"/>
    <w:rsid w:val="00006F2B"/>
    <w:rsid w:val="000216B1"/>
    <w:rsid w:val="00034E3F"/>
    <w:rsid w:val="00041910"/>
    <w:rsid w:val="00050288"/>
    <w:rsid w:val="0005293D"/>
    <w:rsid w:val="000535B4"/>
    <w:rsid w:val="00055090"/>
    <w:rsid w:val="00070C3E"/>
    <w:rsid w:val="00073D23"/>
    <w:rsid w:val="00084B4D"/>
    <w:rsid w:val="00087AC4"/>
    <w:rsid w:val="000951BF"/>
    <w:rsid w:val="00095439"/>
    <w:rsid w:val="000A72D9"/>
    <w:rsid w:val="000B1B0F"/>
    <w:rsid w:val="000C7E39"/>
    <w:rsid w:val="000D5D23"/>
    <w:rsid w:val="000E48B4"/>
    <w:rsid w:val="000E7A68"/>
    <w:rsid w:val="000F0644"/>
    <w:rsid w:val="000F5645"/>
    <w:rsid w:val="0010271C"/>
    <w:rsid w:val="00110ABA"/>
    <w:rsid w:val="00111DE8"/>
    <w:rsid w:val="00111E83"/>
    <w:rsid w:val="00114DFB"/>
    <w:rsid w:val="00131F91"/>
    <w:rsid w:val="001324C5"/>
    <w:rsid w:val="0013315A"/>
    <w:rsid w:val="00146F48"/>
    <w:rsid w:val="00151F12"/>
    <w:rsid w:val="00163B05"/>
    <w:rsid w:val="00171CC3"/>
    <w:rsid w:val="001732AA"/>
    <w:rsid w:val="0017367D"/>
    <w:rsid w:val="0017549C"/>
    <w:rsid w:val="00175796"/>
    <w:rsid w:val="0018204C"/>
    <w:rsid w:val="001A17A5"/>
    <w:rsid w:val="001A5C77"/>
    <w:rsid w:val="001A5F03"/>
    <w:rsid w:val="001C074F"/>
    <w:rsid w:val="001C3AA0"/>
    <w:rsid w:val="001C6D04"/>
    <w:rsid w:val="001D3758"/>
    <w:rsid w:val="001D485D"/>
    <w:rsid w:val="001D52B4"/>
    <w:rsid w:val="001F16EC"/>
    <w:rsid w:val="001F2395"/>
    <w:rsid w:val="00200124"/>
    <w:rsid w:val="002068E2"/>
    <w:rsid w:val="0021482C"/>
    <w:rsid w:val="00214EAB"/>
    <w:rsid w:val="002161F3"/>
    <w:rsid w:val="00217E56"/>
    <w:rsid w:val="00222323"/>
    <w:rsid w:val="00232169"/>
    <w:rsid w:val="00234EA0"/>
    <w:rsid w:val="00244FDD"/>
    <w:rsid w:val="00255C58"/>
    <w:rsid w:val="00261E9C"/>
    <w:rsid w:val="002655D5"/>
    <w:rsid w:val="00270308"/>
    <w:rsid w:val="00277C44"/>
    <w:rsid w:val="00282EC9"/>
    <w:rsid w:val="00284C10"/>
    <w:rsid w:val="00292E89"/>
    <w:rsid w:val="00292F57"/>
    <w:rsid w:val="0029343B"/>
    <w:rsid w:val="002B2E6E"/>
    <w:rsid w:val="002C19CE"/>
    <w:rsid w:val="002C661D"/>
    <w:rsid w:val="002C7A14"/>
    <w:rsid w:val="002D3FFC"/>
    <w:rsid w:val="002E587A"/>
    <w:rsid w:val="002F4966"/>
    <w:rsid w:val="002F58B6"/>
    <w:rsid w:val="00310B8F"/>
    <w:rsid w:val="00311667"/>
    <w:rsid w:val="00312F3C"/>
    <w:rsid w:val="00320403"/>
    <w:rsid w:val="00323429"/>
    <w:rsid w:val="0033442B"/>
    <w:rsid w:val="0034336B"/>
    <w:rsid w:val="00362E72"/>
    <w:rsid w:val="00370721"/>
    <w:rsid w:val="00372252"/>
    <w:rsid w:val="0038314B"/>
    <w:rsid w:val="00384870"/>
    <w:rsid w:val="003A2608"/>
    <w:rsid w:val="003A3BE8"/>
    <w:rsid w:val="003B405F"/>
    <w:rsid w:val="003E1B92"/>
    <w:rsid w:val="003E5ADF"/>
    <w:rsid w:val="003E698F"/>
    <w:rsid w:val="003F0AB1"/>
    <w:rsid w:val="00400AA7"/>
    <w:rsid w:val="00401E90"/>
    <w:rsid w:val="004057BB"/>
    <w:rsid w:val="00405835"/>
    <w:rsid w:val="00407604"/>
    <w:rsid w:val="00413622"/>
    <w:rsid w:val="004145A9"/>
    <w:rsid w:val="0041548D"/>
    <w:rsid w:val="00417020"/>
    <w:rsid w:val="0041776D"/>
    <w:rsid w:val="004214B2"/>
    <w:rsid w:val="004219F6"/>
    <w:rsid w:val="0043033F"/>
    <w:rsid w:val="00436A19"/>
    <w:rsid w:val="00436E7B"/>
    <w:rsid w:val="00446EA0"/>
    <w:rsid w:val="00450132"/>
    <w:rsid w:val="004503D5"/>
    <w:rsid w:val="00452D0D"/>
    <w:rsid w:val="00466972"/>
    <w:rsid w:val="00467FD5"/>
    <w:rsid w:val="00474DCE"/>
    <w:rsid w:val="00476E5D"/>
    <w:rsid w:val="004807F3"/>
    <w:rsid w:val="0048304F"/>
    <w:rsid w:val="00485617"/>
    <w:rsid w:val="004876ED"/>
    <w:rsid w:val="00492153"/>
    <w:rsid w:val="00497B99"/>
    <w:rsid w:val="004A6CAF"/>
    <w:rsid w:val="004B711A"/>
    <w:rsid w:val="004B7D0A"/>
    <w:rsid w:val="004B7D63"/>
    <w:rsid w:val="004C0644"/>
    <w:rsid w:val="004C0821"/>
    <w:rsid w:val="004D2348"/>
    <w:rsid w:val="004D2403"/>
    <w:rsid w:val="004E3731"/>
    <w:rsid w:val="004E3830"/>
    <w:rsid w:val="004F0D94"/>
    <w:rsid w:val="004F3B63"/>
    <w:rsid w:val="004F56DC"/>
    <w:rsid w:val="004F5EE3"/>
    <w:rsid w:val="004F6CF7"/>
    <w:rsid w:val="005027EC"/>
    <w:rsid w:val="00510459"/>
    <w:rsid w:val="0051220F"/>
    <w:rsid w:val="005226EB"/>
    <w:rsid w:val="005269B9"/>
    <w:rsid w:val="005372E4"/>
    <w:rsid w:val="00541A38"/>
    <w:rsid w:val="00541FB8"/>
    <w:rsid w:val="00542D9D"/>
    <w:rsid w:val="0055003C"/>
    <w:rsid w:val="00554794"/>
    <w:rsid w:val="005572CD"/>
    <w:rsid w:val="00563F86"/>
    <w:rsid w:val="00564D9D"/>
    <w:rsid w:val="00565502"/>
    <w:rsid w:val="00574C5A"/>
    <w:rsid w:val="00581F2E"/>
    <w:rsid w:val="00581FB0"/>
    <w:rsid w:val="00587BC5"/>
    <w:rsid w:val="00594068"/>
    <w:rsid w:val="00596AA0"/>
    <w:rsid w:val="005A4D07"/>
    <w:rsid w:val="005A5076"/>
    <w:rsid w:val="005B1B78"/>
    <w:rsid w:val="005B5D37"/>
    <w:rsid w:val="005B66F8"/>
    <w:rsid w:val="005C3AEB"/>
    <w:rsid w:val="005C3DC3"/>
    <w:rsid w:val="005D0A2F"/>
    <w:rsid w:val="005F1AC1"/>
    <w:rsid w:val="00627E28"/>
    <w:rsid w:val="0063092D"/>
    <w:rsid w:val="006315C5"/>
    <w:rsid w:val="00632482"/>
    <w:rsid w:val="00635D4D"/>
    <w:rsid w:val="00643E03"/>
    <w:rsid w:val="00644051"/>
    <w:rsid w:val="00645EAC"/>
    <w:rsid w:val="00647389"/>
    <w:rsid w:val="006502EC"/>
    <w:rsid w:val="006522B1"/>
    <w:rsid w:val="00652714"/>
    <w:rsid w:val="006532CF"/>
    <w:rsid w:val="006629D0"/>
    <w:rsid w:val="006635AF"/>
    <w:rsid w:val="006661F8"/>
    <w:rsid w:val="00671635"/>
    <w:rsid w:val="00672EF0"/>
    <w:rsid w:val="006747AA"/>
    <w:rsid w:val="00682D71"/>
    <w:rsid w:val="006837C1"/>
    <w:rsid w:val="00685654"/>
    <w:rsid w:val="006905E1"/>
    <w:rsid w:val="006C2777"/>
    <w:rsid w:val="006C570F"/>
    <w:rsid w:val="006C791A"/>
    <w:rsid w:val="006D1320"/>
    <w:rsid w:val="006D1B04"/>
    <w:rsid w:val="006D4720"/>
    <w:rsid w:val="006D4824"/>
    <w:rsid w:val="006D48CE"/>
    <w:rsid w:val="006E1546"/>
    <w:rsid w:val="006E2283"/>
    <w:rsid w:val="006E7273"/>
    <w:rsid w:val="006F2B1C"/>
    <w:rsid w:val="006F357E"/>
    <w:rsid w:val="0070226E"/>
    <w:rsid w:val="00702342"/>
    <w:rsid w:val="00705F98"/>
    <w:rsid w:val="0071688B"/>
    <w:rsid w:val="007215D2"/>
    <w:rsid w:val="007230EC"/>
    <w:rsid w:val="0072344F"/>
    <w:rsid w:val="0072503A"/>
    <w:rsid w:val="007301A3"/>
    <w:rsid w:val="007320D1"/>
    <w:rsid w:val="00740D32"/>
    <w:rsid w:val="00741603"/>
    <w:rsid w:val="00741841"/>
    <w:rsid w:val="00742920"/>
    <w:rsid w:val="00742CF1"/>
    <w:rsid w:val="00745EEC"/>
    <w:rsid w:val="00747DAE"/>
    <w:rsid w:val="00751A52"/>
    <w:rsid w:val="00760400"/>
    <w:rsid w:val="00760A91"/>
    <w:rsid w:val="007610DB"/>
    <w:rsid w:val="00764E03"/>
    <w:rsid w:val="007812DC"/>
    <w:rsid w:val="007A34FE"/>
    <w:rsid w:val="007A409D"/>
    <w:rsid w:val="007A411C"/>
    <w:rsid w:val="007A4F76"/>
    <w:rsid w:val="007B4386"/>
    <w:rsid w:val="007C25F4"/>
    <w:rsid w:val="007C5A44"/>
    <w:rsid w:val="007D685B"/>
    <w:rsid w:val="007E38D8"/>
    <w:rsid w:val="007F4F63"/>
    <w:rsid w:val="00811596"/>
    <w:rsid w:val="008169B9"/>
    <w:rsid w:val="00821D58"/>
    <w:rsid w:val="008224A5"/>
    <w:rsid w:val="00827A7B"/>
    <w:rsid w:val="00832A58"/>
    <w:rsid w:val="00833D5F"/>
    <w:rsid w:val="00834861"/>
    <w:rsid w:val="00835DAB"/>
    <w:rsid w:val="008378FA"/>
    <w:rsid w:val="00846004"/>
    <w:rsid w:val="00853AE4"/>
    <w:rsid w:val="008562BA"/>
    <w:rsid w:val="00856D17"/>
    <w:rsid w:val="008623DC"/>
    <w:rsid w:val="00867E8D"/>
    <w:rsid w:val="00883B3D"/>
    <w:rsid w:val="00892C1A"/>
    <w:rsid w:val="00892F25"/>
    <w:rsid w:val="008A7D57"/>
    <w:rsid w:val="008B38E2"/>
    <w:rsid w:val="008B66CF"/>
    <w:rsid w:val="008C42AD"/>
    <w:rsid w:val="008D39C3"/>
    <w:rsid w:val="008D3BB4"/>
    <w:rsid w:val="008D6C1A"/>
    <w:rsid w:val="008E134A"/>
    <w:rsid w:val="008E1C8A"/>
    <w:rsid w:val="008E33BB"/>
    <w:rsid w:val="008F1491"/>
    <w:rsid w:val="008F3574"/>
    <w:rsid w:val="008F6DA5"/>
    <w:rsid w:val="008F7EDA"/>
    <w:rsid w:val="0090595D"/>
    <w:rsid w:val="00917608"/>
    <w:rsid w:val="0092568E"/>
    <w:rsid w:val="0092615D"/>
    <w:rsid w:val="00930C83"/>
    <w:rsid w:val="00934560"/>
    <w:rsid w:val="0093575C"/>
    <w:rsid w:val="00944973"/>
    <w:rsid w:val="00953C0A"/>
    <w:rsid w:val="009551AB"/>
    <w:rsid w:val="00955626"/>
    <w:rsid w:val="00960DCB"/>
    <w:rsid w:val="00962F45"/>
    <w:rsid w:val="0096655A"/>
    <w:rsid w:val="00967F85"/>
    <w:rsid w:val="00970E0C"/>
    <w:rsid w:val="00972E5F"/>
    <w:rsid w:val="00973896"/>
    <w:rsid w:val="00977B41"/>
    <w:rsid w:val="009815F3"/>
    <w:rsid w:val="0098253C"/>
    <w:rsid w:val="00984FC0"/>
    <w:rsid w:val="009861C2"/>
    <w:rsid w:val="00990066"/>
    <w:rsid w:val="00997735"/>
    <w:rsid w:val="009A1CA5"/>
    <w:rsid w:val="009A1FD0"/>
    <w:rsid w:val="009A5611"/>
    <w:rsid w:val="009A65B2"/>
    <w:rsid w:val="009B2EC7"/>
    <w:rsid w:val="009B7E38"/>
    <w:rsid w:val="009C1F2E"/>
    <w:rsid w:val="009C2524"/>
    <w:rsid w:val="009C78D2"/>
    <w:rsid w:val="009C7DD7"/>
    <w:rsid w:val="009E5E17"/>
    <w:rsid w:val="009F51BE"/>
    <w:rsid w:val="009F67D8"/>
    <w:rsid w:val="009F7E38"/>
    <w:rsid w:val="00A05151"/>
    <w:rsid w:val="00A06D28"/>
    <w:rsid w:val="00A31EC2"/>
    <w:rsid w:val="00A36FA7"/>
    <w:rsid w:val="00A46203"/>
    <w:rsid w:val="00A510FE"/>
    <w:rsid w:val="00A52B40"/>
    <w:rsid w:val="00A54A77"/>
    <w:rsid w:val="00A54F54"/>
    <w:rsid w:val="00A653B4"/>
    <w:rsid w:val="00A674D1"/>
    <w:rsid w:val="00A70E7C"/>
    <w:rsid w:val="00A73286"/>
    <w:rsid w:val="00A74550"/>
    <w:rsid w:val="00A77887"/>
    <w:rsid w:val="00A8078C"/>
    <w:rsid w:val="00A85AC1"/>
    <w:rsid w:val="00A862D2"/>
    <w:rsid w:val="00A9620B"/>
    <w:rsid w:val="00AA09A0"/>
    <w:rsid w:val="00AB6317"/>
    <w:rsid w:val="00AB7A46"/>
    <w:rsid w:val="00AC208E"/>
    <w:rsid w:val="00AC3734"/>
    <w:rsid w:val="00AC3D96"/>
    <w:rsid w:val="00AE372C"/>
    <w:rsid w:val="00B02432"/>
    <w:rsid w:val="00B125DE"/>
    <w:rsid w:val="00B1517C"/>
    <w:rsid w:val="00B15188"/>
    <w:rsid w:val="00B15619"/>
    <w:rsid w:val="00B23FE9"/>
    <w:rsid w:val="00B30CF8"/>
    <w:rsid w:val="00B317BA"/>
    <w:rsid w:val="00B34984"/>
    <w:rsid w:val="00B36AE9"/>
    <w:rsid w:val="00B60BDE"/>
    <w:rsid w:val="00B77D2D"/>
    <w:rsid w:val="00B816C0"/>
    <w:rsid w:val="00B8376A"/>
    <w:rsid w:val="00B85E44"/>
    <w:rsid w:val="00B864D2"/>
    <w:rsid w:val="00B87B8F"/>
    <w:rsid w:val="00B87C5F"/>
    <w:rsid w:val="00B91CEC"/>
    <w:rsid w:val="00B92C2A"/>
    <w:rsid w:val="00B9346B"/>
    <w:rsid w:val="00B945C9"/>
    <w:rsid w:val="00BA7316"/>
    <w:rsid w:val="00BB10D4"/>
    <w:rsid w:val="00BB1A47"/>
    <w:rsid w:val="00BB3294"/>
    <w:rsid w:val="00BC07B2"/>
    <w:rsid w:val="00BC0C87"/>
    <w:rsid w:val="00BD3E6B"/>
    <w:rsid w:val="00BD6ABF"/>
    <w:rsid w:val="00BE6FAE"/>
    <w:rsid w:val="00BE7C22"/>
    <w:rsid w:val="00BF3791"/>
    <w:rsid w:val="00C00261"/>
    <w:rsid w:val="00C03417"/>
    <w:rsid w:val="00C05525"/>
    <w:rsid w:val="00C05623"/>
    <w:rsid w:val="00C06F6B"/>
    <w:rsid w:val="00C11803"/>
    <w:rsid w:val="00C11B4C"/>
    <w:rsid w:val="00C142D2"/>
    <w:rsid w:val="00C15C77"/>
    <w:rsid w:val="00C20339"/>
    <w:rsid w:val="00C23085"/>
    <w:rsid w:val="00C2471A"/>
    <w:rsid w:val="00C3132D"/>
    <w:rsid w:val="00C3149B"/>
    <w:rsid w:val="00C44EC1"/>
    <w:rsid w:val="00C5183F"/>
    <w:rsid w:val="00C523F4"/>
    <w:rsid w:val="00C70439"/>
    <w:rsid w:val="00C709F4"/>
    <w:rsid w:val="00C71E74"/>
    <w:rsid w:val="00C82C80"/>
    <w:rsid w:val="00C84EFE"/>
    <w:rsid w:val="00C86425"/>
    <w:rsid w:val="00C9120D"/>
    <w:rsid w:val="00C96407"/>
    <w:rsid w:val="00CA4636"/>
    <w:rsid w:val="00CB0EDA"/>
    <w:rsid w:val="00CB4D37"/>
    <w:rsid w:val="00CB5E28"/>
    <w:rsid w:val="00CC0DA5"/>
    <w:rsid w:val="00CC2B10"/>
    <w:rsid w:val="00CD2097"/>
    <w:rsid w:val="00CD610B"/>
    <w:rsid w:val="00CD64B2"/>
    <w:rsid w:val="00CD77BC"/>
    <w:rsid w:val="00CE20F1"/>
    <w:rsid w:val="00CE393E"/>
    <w:rsid w:val="00CE56FF"/>
    <w:rsid w:val="00CF0A83"/>
    <w:rsid w:val="00CF1F36"/>
    <w:rsid w:val="00D00020"/>
    <w:rsid w:val="00D001BF"/>
    <w:rsid w:val="00D0049A"/>
    <w:rsid w:val="00D0674C"/>
    <w:rsid w:val="00D11B6F"/>
    <w:rsid w:val="00D13DDD"/>
    <w:rsid w:val="00D20CAD"/>
    <w:rsid w:val="00D242BA"/>
    <w:rsid w:val="00D25F21"/>
    <w:rsid w:val="00D26F9F"/>
    <w:rsid w:val="00D319BA"/>
    <w:rsid w:val="00D35663"/>
    <w:rsid w:val="00D36B7E"/>
    <w:rsid w:val="00D41FEF"/>
    <w:rsid w:val="00D61818"/>
    <w:rsid w:val="00D7097F"/>
    <w:rsid w:val="00D9029B"/>
    <w:rsid w:val="00DA133F"/>
    <w:rsid w:val="00DB19EA"/>
    <w:rsid w:val="00DB3C6E"/>
    <w:rsid w:val="00DB4210"/>
    <w:rsid w:val="00DB428A"/>
    <w:rsid w:val="00DB48B1"/>
    <w:rsid w:val="00DC1B0C"/>
    <w:rsid w:val="00DD1951"/>
    <w:rsid w:val="00DF38F3"/>
    <w:rsid w:val="00E008DE"/>
    <w:rsid w:val="00E01AE9"/>
    <w:rsid w:val="00E03060"/>
    <w:rsid w:val="00E058FA"/>
    <w:rsid w:val="00E1012C"/>
    <w:rsid w:val="00E14BF4"/>
    <w:rsid w:val="00E15732"/>
    <w:rsid w:val="00E22BA1"/>
    <w:rsid w:val="00E36BFB"/>
    <w:rsid w:val="00E36E50"/>
    <w:rsid w:val="00E42974"/>
    <w:rsid w:val="00E51E1F"/>
    <w:rsid w:val="00E536A6"/>
    <w:rsid w:val="00E70CA5"/>
    <w:rsid w:val="00E768B3"/>
    <w:rsid w:val="00E86030"/>
    <w:rsid w:val="00E96D83"/>
    <w:rsid w:val="00EB5152"/>
    <w:rsid w:val="00EC25ED"/>
    <w:rsid w:val="00EC42A6"/>
    <w:rsid w:val="00ED3544"/>
    <w:rsid w:val="00ED739E"/>
    <w:rsid w:val="00EE2944"/>
    <w:rsid w:val="00EE7D5B"/>
    <w:rsid w:val="00EE7F00"/>
    <w:rsid w:val="00EF0772"/>
    <w:rsid w:val="00EF112B"/>
    <w:rsid w:val="00EF60ED"/>
    <w:rsid w:val="00F034BA"/>
    <w:rsid w:val="00F114E0"/>
    <w:rsid w:val="00F11EF3"/>
    <w:rsid w:val="00F1311D"/>
    <w:rsid w:val="00F13FFD"/>
    <w:rsid w:val="00F1578C"/>
    <w:rsid w:val="00F304BD"/>
    <w:rsid w:val="00F360A6"/>
    <w:rsid w:val="00F36C54"/>
    <w:rsid w:val="00F4152B"/>
    <w:rsid w:val="00F41B3A"/>
    <w:rsid w:val="00F45E5D"/>
    <w:rsid w:val="00F524DA"/>
    <w:rsid w:val="00F525B1"/>
    <w:rsid w:val="00F52D8E"/>
    <w:rsid w:val="00F57795"/>
    <w:rsid w:val="00F57FC9"/>
    <w:rsid w:val="00F61B64"/>
    <w:rsid w:val="00F621A8"/>
    <w:rsid w:val="00F64756"/>
    <w:rsid w:val="00F72815"/>
    <w:rsid w:val="00F8288E"/>
    <w:rsid w:val="00F93319"/>
    <w:rsid w:val="00F933A4"/>
    <w:rsid w:val="00F94EF6"/>
    <w:rsid w:val="00F95A1F"/>
    <w:rsid w:val="00F96E21"/>
    <w:rsid w:val="00F97CFE"/>
    <w:rsid w:val="00FA0979"/>
    <w:rsid w:val="00FA3D8A"/>
    <w:rsid w:val="00FA4408"/>
    <w:rsid w:val="00FA7C17"/>
    <w:rsid w:val="00FB35AF"/>
    <w:rsid w:val="00FB396E"/>
    <w:rsid w:val="00FB6209"/>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4B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 w:type="character" w:customStyle="1" w:styleId="Heading3Char">
    <w:name w:val="Heading 3 Char"/>
    <w:basedOn w:val="DefaultParagraphFont"/>
    <w:link w:val="Heading3"/>
    <w:uiPriority w:val="9"/>
    <w:semiHidden/>
    <w:rsid w:val="00E14BF4"/>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1">
    <w:name w:val="otglist1"/>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86030"/>
    <w:rPr>
      <w:color w:val="800080"/>
      <w:u w:val="single"/>
    </w:rPr>
  </w:style>
  <w:style w:type="paragraph" w:customStyle="1" w:styleId="otglist2">
    <w:name w:val="otglist2"/>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3">
    <w:name w:val="otglist3"/>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4">
    <w:name w:val="otglist4"/>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5">
    <w:name w:val="otglist5"/>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6">
    <w:name w:val="otglist6"/>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wrap">
    <w:name w:val="nowrap"/>
    <w:basedOn w:val="DefaultParagraphFont"/>
    <w:rsid w:val="00E8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343">
      <w:bodyDiv w:val="1"/>
      <w:marLeft w:val="0"/>
      <w:marRight w:val="0"/>
      <w:marTop w:val="0"/>
      <w:marBottom w:val="0"/>
      <w:divBdr>
        <w:top w:val="none" w:sz="0" w:space="0" w:color="auto"/>
        <w:left w:val="none" w:sz="0" w:space="0" w:color="auto"/>
        <w:bottom w:val="none" w:sz="0" w:space="0" w:color="auto"/>
        <w:right w:val="none" w:sz="0" w:space="0" w:color="auto"/>
      </w:divBdr>
    </w:div>
    <w:div w:id="276257240">
      <w:bodyDiv w:val="1"/>
      <w:marLeft w:val="0"/>
      <w:marRight w:val="0"/>
      <w:marTop w:val="0"/>
      <w:marBottom w:val="0"/>
      <w:divBdr>
        <w:top w:val="none" w:sz="0" w:space="0" w:color="auto"/>
        <w:left w:val="none" w:sz="0" w:space="0" w:color="auto"/>
        <w:bottom w:val="none" w:sz="0" w:space="0" w:color="auto"/>
        <w:right w:val="none" w:sz="0" w:space="0" w:color="auto"/>
      </w:divBdr>
      <w:divsChild>
        <w:div w:id="2032104896">
          <w:marLeft w:val="0"/>
          <w:marRight w:val="0"/>
          <w:marTop w:val="0"/>
          <w:marBottom w:val="0"/>
          <w:divBdr>
            <w:top w:val="none" w:sz="0" w:space="0" w:color="auto"/>
            <w:left w:val="none" w:sz="0" w:space="0" w:color="auto"/>
            <w:bottom w:val="none" w:sz="0" w:space="0" w:color="auto"/>
            <w:right w:val="none" w:sz="0" w:space="0" w:color="auto"/>
          </w:divBdr>
        </w:div>
        <w:div w:id="1480270175">
          <w:marLeft w:val="0"/>
          <w:marRight w:val="0"/>
          <w:marTop w:val="0"/>
          <w:marBottom w:val="0"/>
          <w:divBdr>
            <w:top w:val="none" w:sz="0" w:space="0" w:color="auto"/>
            <w:left w:val="none" w:sz="0" w:space="0" w:color="auto"/>
            <w:bottom w:val="none" w:sz="0" w:space="0" w:color="auto"/>
            <w:right w:val="none" w:sz="0" w:space="0" w:color="auto"/>
          </w:divBdr>
        </w:div>
        <w:div w:id="1278877995">
          <w:marLeft w:val="0"/>
          <w:marRight w:val="0"/>
          <w:marTop w:val="0"/>
          <w:marBottom w:val="0"/>
          <w:divBdr>
            <w:top w:val="none" w:sz="0" w:space="0" w:color="auto"/>
            <w:left w:val="none" w:sz="0" w:space="0" w:color="auto"/>
            <w:bottom w:val="none" w:sz="0" w:space="0" w:color="auto"/>
            <w:right w:val="none" w:sz="0" w:space="0" w:color="auto"/>
          </w:divBdr>
        </w:div>
      </w:divsChild>
    </w:div>
    <w:div w:id="434133202">
      <w:bodyDiv w:val="1"/>
      <w:marLeft w:val="0"/>
      <w:marRight w:val="0"/>
      <w:marTop w:val="0"/>
      <w:marBottom w:val="0"/>
      <w:divBdr>
        <w:top w:val="none" w:sz="0" w:space="0" w:color="auto"/>
        <w:left w:val="none" w:sz="0" w:space="0" w:color="auto"/>
        <w:bottom w:val="none" w:sz="0" w:space="0" w:color="auto"/>
        <w:right w:val="none" w:sz="0" w:space="0" w:color="auto"/>
      </w:divBdr>
      <w:divsChild>
        <w:div w:id="877620910">
          <w:marLeft w:val="0"/>
          <w:marRight w:val="0"/>
          <w:marTop w:val="0"/>
          <w:marBottom w:val="0"/>
          <w:divBdr>
            <w:top w:val="none" w:sz="0" w:space="0" w:color="auto"/>
            <w:left w:val="none" w:sz="0" w:space="0" w:color="auto"/>
            <w:bottom w:val="none" w:sz="0" w:space="0" w:color="auto"/>
            <w:right w:val="none" w:sz="0" w:space="0" w:color="auto"/>
          </w:divBdr>
        </w:div>
        <w:div w:id="842084637">
          <w:marLeft w:val="0"/>
          <w:marRight w:val="0"/>
          <w:marTop w:val="0"/>
          <w:marBottom w:val="0"/>
          <w:divBdr>
            <w:top w:val="none" w:sz="0" w:space="0" w:color="auto"/>
            <w:left w:val="none" w:sz="0" w:space="0" w:color="auto"/>
            <w:bottom w:val="none" w:sz="0" w:space="0" w:color="auto"/>
            <w:right w:val="none" w:sz="0" w:space="0" w:color="auto"/>
          </w:divBdr>
        </w:div>
        <w:div w:id="708797648">
          <w:marLeft w:val="0"/>
          <w:marRight w:val="0"/>
          <w:marTop w:val="0"/>
          <w:marBottom w:val="0"/>
          <w:divBdr>
            <w:top w:val="none" w:sz="0" w:space="0" w:color="auto"/>
            <w:left w:val="none" w:sz="0" w:space="0" w:color="auto"/>
            <w:bottom w:val="none" w:sz="0" w:space="0" w:color="auto"/>
            <w:right w:val="none" w:sz="0" w:space="0" w:color="auto"/>
          </w:divBdr>
        </w:div>
        <w:div w:id="632831998">
          <w:marLeft w:val="0"/>
          <w:marRight w:val="0"/>
          <w:marTop w:val="0"/>
          <w:marBottom w:val="0"/>
          <w:divBdr>
            <w:top w:val="none" w:sz="0" w:space="0" w:color="auto"/>
            <w:left w:val="none" w:sz="0" w:space="0" w:color="auto"/>
            <w:bottom w:val="none" w:sz="0" w:space="0" w:color="auto"/>
            <w:right w:val="none" w:sz="0" w:space="0" w:color="auto"/>
          </w:divBdr>
        </w:div>
      </w:divsChild>
    </w:div>
    <w:div w:id="511145814">
      <w:bodyDiv w:val="1"/>
      <w:marLeft w:val="0"/>
      <w:marRight w:val="0"/>
      <w:marTop w:val="0"/>
      <w:marBottom w:val="0"/>
      <w:divBdr>
        <w:top w:val="none" w:sz="0" w:space="0" w:color="auto"/>
        <w:left w:val="none" w:sz="0" w:space="0" w:color="auto"/>
        <w:bottom w:val="none" w:sz="0" w:space="0" w:color="auto"/>
        <w:right w:val="none" w:sz="0" w:space="0" w:color="auto"/>
      </w:divBdr>
    </w:div>
    <w:div w:id="529802215">
      <w:bodyDiv w:val="1"/>
      <w:marLeft w:val="0"/>
      <w:marRight w:val="0"/>
      <w:marTop w:val="0"/>
      <w:marBottom w:val="0"/>
      <w:divBdr>
        <w:top w:val="none" w:sz="0" w:space="0" w:color="auto"/>
        <w:left w:val="none" w:sz="0" w:space="0" w:color="auto"/>
        <w:bottom w:val="none" w:sz="0" w:space="0" w:color="auto"/>
        <w:right w:val="none" w:sz="0" w:space="0" w:color="auto"/>
      </w:divBdr>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619336146">
      <w:bodyDiv w:val="1"/>
      <w:marLeft w:val="0"/>
      <w:marRight w:val="0"/>
      <w:marTop w:val="0"/>
      <w:marBottom w:val="0"/>
      <w:divBdr>
        <w:top w:val="none" w:sz="0" w:space="0" w:color="auto"/>
        <w:left w:val="none" w:sz="0" w:space="0" w:color="auto"/>
        <w:bottom w:val="none" w:sz="0" w:space="0" w:color="auto"/>
        <w:right w:val="none" w:sz="0" w:space="0" w:color="auto"/>
      </w:divBdr>
    </w:div>
    <w:div w:id="739332473">
      <w:bodyDiv w:val="1"/>
      <w:marLeft w:val="0"/>
      <w:marRight w:val="0"/>
      <w:marTop w:val="0"/>
      <w:marBottom w:val="0"/>
      <w:divBdr>
        <w:top w:val="none" w:sz="0" w:space="0" w:color="auto"/>
        <w:left w:val="none" w:sz="0" w:space="0" w:color="auto"/>
        <w:bottom w:val="none" w:sz="0" w:space="0" w:color="auto"/>
        <w:right w:val="none" w:sz="0" w:space="0" w:color="auto"/>
      </w:divBdr>
    </w:div>
    <w:div w:id="745611673">
      <w:bodyDiv w:val="1"/>
      <w:marLeft w:val="0"/>
      <w:marRight w:val="0"/>
      <w:marTop w:val="0"/>
      <w:marBottom w:val="0"/>
      <w:divBdr>
        <w:top w:val="none" w:sz="0" w:space="0" w:color="auto"/>
        <w:left w:val="none" w:sz="0" w:space="0" w:color="auto"/>
        <w:bottom w:val="none" w:sz="0" w:space="0" w:color="auto"/>
        <w:right w:val="none" w:sz="0" w:space="0" w:color="auto"/>
      </w:divBdr>
      <w:divsChild>
        <w:div w:id="111021994">
          <w:marLeft w:val="0"/>
          <w:marRight w:val="0"/>
          <w:marTop w:val="0"/>
          <w:marBottom w:val="0"/>
          <w:divBdr>
            <w:top w:val="none" w:sz="0" w:space="0" w:color="auto"/>
            <w:left w:val="none" w:sz="0" w:space="0" w:color="auto"/>
            <w:bottom w:val="none" w:sz="0" w:space="0" w:color="auto"/>
            <w:right w:val="none" w:sz="0" w:space="0" w:color="auto"/>
          </w:divBdr>
        </w:div>
        <w:div w:id="304818651">
          <w:marLeft w:val="0"/>
          <w:marRight w:val="0"/>
          <w:marTop w:val="0"/>
          <w:marBottom w:val="0"/>
          <w:divBdr>
            <w:top w:val="none" w:sz="0" w:space="0" w:color="auto"/>
            <w:left w:val="none" w:sz="0" w:space="0" w:color="auto"/>
            <w:bottom w:val="none" w:sz="0" w:space="0" w:color="auto"/>
            <w:right w:val="none" w:sz="0" w:space="0" w:color="auto"/>
          </w:divBdr>
        </w:div>
        <w:div w:id="1428697431">
          <w:marLeft w:val="0"/>
          <w:marRight w:val="0"/>
          <w:marTop w:val="0"/>
          <w:marBottom w:val="0"/>
          <w:divBdr>
            <w:top w:val="none" w:sz="0" w:space="0" w:color="auto"/>
            <w:left w:val="none" w:sz="0" w:space="0" w:color="auto"/>
            <w:bottom w:val="none" w:sz="0" w:space="0" w:color="auto"/>
            <w:right w:val="none" w:sz="0" w:space="0" w:color="auto"/>
          </w:divBdr>
        </w:div>
        <w:div w:id="158624383">
          <w:marLeft w:val="0"/>
          <w:marRight w:val="0"/>
          <w:marTop w:val="0"/>
          <w:marBottom w:val="0"/>
          <w:divBdr>
            <w:top w:val="none" w:sz="0" w:space="0" w:color="auto"/>
            <w:left w:val="none" w:sz="0" w:space="0" w:color="auto"/>
            <w:bottom w:val="none" w:sz="0" w:space="0" w:color="auto"/>
            <w:right w:val="none" w:sz="0" w:space="0" w:color="auto"/>
          </w:divBdr>
        </w:div>
      </w:divsChild>
    </w:div>
    <w:div w:id="776370018">
      <w:bodyDiv w:val="1"/>
      <w:marLeft w:val="0"/>
      <w:marRight w:val="0"/>
      <w:marTop w:val="0"/>
      <w:marBottom w:val="0"/>
      <w:divBdr>
        <w:top w:val="none" w:sz="0" w:space="0" w:color="auto"/>
        <w:left w:val="none" w:sz="0" w:space="0" w:color="auto"/>
        <w:bottom w:val="none" w:sz="0" w:space="0" w:color="auto"/>
        <w:right w:val="none" w:sz="0" w:space="0" w:color="auto"/>
      </w:divBdr>
      <w:divsChild>
        <w:div w:id="1002468883">
          <w:marLeft w:val="0"/>
          <w:marRight w:val="0"/>
          <w:marTop w:val="0"/>
          <w:marBottom w:val="0"/>
          <w:divBdr>
            <w:top w:val="none" w:sz="0" w:space="0" w:color="auto"/>
            <w:left w:val="none" w:sz="0" w:space="0" w:color="auto"/>
            <w:bottom w:val="none" w:sz="0" w:space="0" w:color="auto"/>
            <w:right w:val="none" w:sz="0" w:space="0" w:color="auto"/>
          </w:divBdr>
        </w:div>
        <w:div w:id="1562980729">
          <w:marLeft w:val="0"/>
          <w:marRight w:val="0"/>
          <w:marTop w:val="0"/>
          <w:marBottom w:val="0"/>
          <w:divBdr>
            <w:top w:val="none" w:sz="0" w:space="0" w:color="auto"/>
            <w:left w:val="none" w:sz="0" w:space="0" w:color="auto"/>
            <w:bottom w:val="none" w:sz="0" w:space="0" w:color="auto"/>
            <w:right w:val="none" w:sz="0" w:space="0" w:color="auto"/>
          </w:divBdr>
        </w:div>
        <w:div w:id="789783256">
          <w:marLeft w:val="0"/>
          <w:marRight w:val="0"/>
          <w:marTop w:val="0"/>
          <w:marBottom w:val="0"/>
          <w:divBdr>
            <w:top w:val="none" w:sz="0" w:space="0" w:color="auto"/>
            <w:left w:val="none" w:sz="0" w:space="0" w:color="auto"/>
            <w:bottom w:val="none" w:sz="0" w:space="0" w:color="auto"/>
            <w:right w:val="none" w:sz="0" w:space="0" w:color="auto"/>
          </w:divBdr>
        </w:div>
        <w:div w:id="610287342">
          <w:marLeft w:val="0"/>
          <w:marRight w:val="0"/>
          <w:marTop w:val="0"/>
          <w:marBottom w:val="0"/>
          <w:divBdr>
            <w:top w:val="none" w:sz="0" w:space="0" w:color="auto"/>
            <w:left w:val="none" w:sz="0" w:space="0" w:color="auto"/>
            <w:bottom w:val="none" w:sz="0" w:space="0" w:color="auto"/>
            <w:right w:val="none" w:sz="0" w:space="0" w:color="auto"/>
          </w:divBdr>
        </w:div>
        <w:div w:id="245505257">
          <w:marLeft w:val="0"/>
          <w:marRight w:val="0"/>
          <w:marTop w:val="0"/>
          <w:marBottom w:val="0"/>
          <w:divBdr>
            <w:top w:val="none" w:sz="0" w:space="0" w:color="auto"/>
            <w:left w:val="none" w:sz="0" w:space="0" w:color="auto"/>
            <w:bottom w:val="none" w:sz="0" w:space="0" w:color="auto"/>
            <w:right w:val="none" w:sz="0" w:space="0" w:color="auto"/>
          </w:divBdr>
        </w:div>
        <w:div w:id="2020307554">
          <w:marLeft w:val="0"/>
          <w:marRight w:val="0"/>
          <w:marTop w:val="0"/>
          <w:marBottom w:val="0"/>
          <w:divBdr>
            <w:top w:val="none" w:sz="0" w:space="0" w:color="auto"/>
            <w:left w:val="none" w:sz="0" w:space="0" w:color="auto"/>
            <w:bottom w:val="none" w:sz="0" w:space="0" w:color="auto"/>
            <w:right w:val="none" w:sz="0" w:space="0" w:color="auto"/>
          </w:divBdr>
        </w:div>
        <w:div w:id="458959289">
          <w:marLeft w:val="0"/>
          <w:marRight w:val="0"/>
          <w:marTop w:val="0"/>
          <w:marBottom w:val="0"/>
          <w:divBdr>
            <w:top w:val="none" w:sz="0" w:space="0" w:color="auto"/>
            <w:left w:val="none" w:sz="0" w:space="0" w:color="auto"/>
            <w:bottom w:val="none" w:sz="0" w:space="0" w:color="auto"/>
            <w:right w:val="none" w:sz="0" w:space="0" w:color="auto"/>
          </w:divBdr>
        </w:div>
      </w:divsChild>
    </w:div>
    <w:div w:id="861669655">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154955578">
      <w:bodyDiv w:val="1"/>
      <w:marLeft w:val="0"/>
      <w:marRight w:val="0"/>
      <w:marTop w:val="0"/>
      <w:marBottom w:val="0"/>
      <w:divBdr>
        <w:top w:val="none" w:sz="0" w:space="0" w:color="auto"/>
        <w:left w:val="none" w:sz="0" w:space="0" w:color="auto"/>
        <w:bottom w:val="none" w:sz="0" w:space="0" w:color="auto"/>
        <w:right w:val="none" w:sz="0" w:space="0" w:color="auto"/>
      </w:divBdr>
    </w:div>
    <w:div w:id="1189177971">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05888390">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557155775">
      <w:bodyDiv w:val="1"/>
      <w:marLeft w:val="0"/>
      <w:marRight w:val="0"/>
      <w:marTop w:val="0"/>
      <w:marBottom w:val="0"/>
      <w:divBdr>
        <w:top w:val="none" w:sz="0" w:space="0" w:color="auto"/>
        <w:left w:val="none" w:sz="0" w:space="0" w:color="auto"/>
        <w:bottom w:val="none" w:sz="0" w:space="0" w:color="auto"/>
        <w:right w:val="none" w:sz="0" w:space="0" w:color="auto"/>
      </w:divBdr>
      <w:divsChild>
        <w:div w:id="1125655072">
          <w:marLeft w:val="0"/>
          <w:marRight w:val="0"/>
          <w:marTop w:val="0"/>
          <w:marBottom w:val="0"/>
          <w:divBdr>
            <w:top w:val="none" w:sz="0" w:space="0" w:color="auto"/>
            <w:left w:val="none" w:sz="0" w:space="0" w:color="auto"/>
            <w:bottom w:val="none" w:sz="0" w:space="0" w:color="auto"/>
            <w:right w:val="none" w:sz="0" w:space="0" w:color="auto"/>
          </w:divBdr>
        </w:div>
        <w:div w:id="2051563673">
          <w:marLeft w:val="0"/>
          <w:marRight w:val="0"/>
          <w:marTop w:val="0"/>
          <w:marBottom w:val="0"/>
          <w:divBdr>
            <w:top w:val="none" w:sz="0" w:space="0" w:color="auto"/>
            <w:left w:val="none" w:sz="0" w:space="0" w:color="auto"/>
            <w:bottom w:val="none" w:sz="0" w:space="0" w:color="auto"/>
            <w:right w:val="none" w:sz="0" w:space="0" w:color="auto"/>
          </w:divBdr>
        </w:div>
        <w:div w:id="1858813055">
          <w:marLeft w:val="0"/>
          <w:marRight w:val="0"/>
          <w:marTop w:val="0"/>
          <w:marBottom w:val="0"/>
          <w:divBdr>
            <w:top w:val="none" w:sz="0" w:space="0" w:color="auto"/>
            <w:left w:val="none" w:sz="0" w:space="0" w:color="auto"/>
            <w:bottom w:val="none" w:sz="0" w:space="0" w:color="auto"/>
            <w:right w:val="none" w:sz="0" w:space="0" w:color="auto"/>
          </w:divBdr>
        </w:div>
      </w:divsChild>
    </w:div>
    <w:div w:id="1762985413">
      <w:bodyDiv w:val="1"/>
      <w:marLeft w:val="0"/>
      <w:marRight w:val="0"/>
      <w:marTop w:val="0"/>
      <w:marBottom w:val="0"/>
      <w:divBdr>
        <w:top w:val="none" w:sz="0" w:space="0" w:color="auto"/>
        <w:left w:val="none" w:sz="0" w:space="0" w:color="auto"/>
        <w:bottom w:val="none" w:sz="0" w:space="0" w:color="auto"/>
        <w:right w:val="none" w:sz="0" w:space="0" w:color="auto"/>
      </w:divBdr>
    </w:div>
    <w:div w:id="1866750457">
      <w:bodyDiv w:val="1"/>
      <w:marLeft w:val="0"/>
      <w:marRight w:val="0"/>
      <w:marTop w:val="0"/>
      <w:marBottom w:val="0"/>
      <w:divBdr>
        <w:top w:val="none" w:sz="0" w:space="0" w:color="auto"/>
        <w:left w:val="none" w:sz="0" w:space="0" w:color="auto"/>
        <w:bottom w:val="none" w:sz="0" w:space="0" w:color="auto"/>
        <w:right w:val="none" w:sz="0" w:space="0" w:color="auto"/>
      </w:divBdr>
    </w:div>
    <w:div w:id="1869297748">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40211319">
      <w:bodyDiv w:val="1"/>
      <w:marLeft w:val="0"/>
      <w:marRight w:val="0"/>
      <w:marTop w:val="0"/>
      <w:marBottom w:val="0"/>
      <w:divBdr>
        <w:top w:val="none" w:sz="0" w:space="0" w:color="auto"/>
        <w:left w:val="none" w:sz="0" w:space="0" w:color="auto"/>
        <w:bottom w:val="none" w:sz="0" w:space="0" w:color="auto"/>
        <w:right w:val="none" w:sz="0" w:space="0" w:color="auto"/>
      </w:divBdr>
      <w:divsChild>
        <w:div w:id="448401374">
          <w:marLeft w:val="0"/>
          <w:marRight w:val="0"/>
          <w:marTop w:val="0"/>
          <w:marBottom w:val="0"/>
          <w:divBdr>
            <w:top w:val="none" w:sz="0" w:space="0" w:color="auto"/>
            <w:left w:val="none" w:sz="0" w:space="0" w:color="auto"/>
            <w:bottom w:val="none" w:sz="0" w:space="0" w:color="auto"/>
            <w:right w:val="none" w:sz="0" w:space="0" w:color="auto"/>
          </w:divBdr>
        </w:div>
        <w:div w:id="1087114707">
          <w:marLeft w:val="0"/>
          <w:marRight w:val="0"/>
          <w:marTop w:val="0"/>
          <w:marBottom w:val="0"/>
          <w:divBdr>
            <w:top w:val="none" w:sz="0" w:space="0" w:color="auto"/>
            <w:left w:val="none" w:sz="0" w:space="0" w:color="auto"/>
            <w:bottom w:val="none" w:sz="0" w:space="0" w:color="auto"/>
            <w:right w:val="none" w:sz="0" w:space="0" w:color="auto"/>
          </w:divBdr>
        </w:div>
        <w:div w:id="882331096">
          <w:marLeft w:val="0"/>
          <w:marRight w:val="0"/>
          <w:marTop w:val="0"/>
          <w:marBottom w:val="0"/>
          <w:divBdr>
            <w:top w:val="none" w:sz="0" w:space="0" w:color="auto"/>
            <w:left w:val="none" w:sz="0" w:space="0" w:color="auto"/>
            <w:bottom w:val="none" w:sz="0" w:space="0" w:color="auto"/>
            <w:right w:val="none" w:sz="0" w:space="0" w:color="auto"/>
          </w:divBdr>
        </w:div>
      </w:divsChild>
    </w:div>
    <w:div w:id="1959408416">
      <w:bodyDiv w:val="1"/>
      <w:marLeft w:val="0"/>
      <w:marRight w:val="0"/>
      <w:marTop w:val="0"/>
      <w:marBottom w:val="0"/>
      <w:divBdr>
        <w:top w:val="none" w:sz="0" w:space="0" w:color="auto"/>
        <w:left w:val="none" w:sz="0" w:space="0" w:color="auto"/>
        <w:bottom w:val="none" w:sz="0" w:space="0" w:color="auto"/>
        <w:right w:val="none" w:sz="0" w:space="0" w:color="auto"/>
      </w:divBdr>
      <w:divsChild>
        <w:div w:id="347876137">
          <w:marLeft w:val="0"/>
          <w:marRight w:val="0"/>
          <w:marTop w:val="0"/>
          <w:marBottom w:val="0"/>
          <w:divBdr>
            <w:top w:val="none" w:sz="0" w:space="0" w:color="auto"/>
            <w:left w:val="none" w:sz="0" w:space="0" w:color="auto"/>
            <w:bottom w:val="none" w:sz="0" w:space="0" w:color="auto"/>
            <w:right w:val="none" w:sz="0" w:space="0" w:color="auto"/>
          </w:divBdr>
        </w:div>
        <w:div w:id="1400403742">
          <w:marLeft w:val="0"/>
          <w:marRight w:val="0"/>
          <w:marTop w:val="0"/>
          <w:marBottom w:val="0"/>
          <w:divBdr>
            <w:top w:val="none" w:sz="0" w:space="0" w:color="auto"/>
            <w:left w:val="none" w:sz="0" w:space="0" w:color="auto"/>
            <w:bottom w:val="none" w:sz="0" w:space="0" w:color="auto"/>
            <w:right w:val="none" w:sz="0" w:space="0" w:color="auto"/>
          </w:divBdr>
        </w:div>
        <w:div w:id="445349400">
          <w:marLeft w:val="0"/>
          <w:marRight w:val="0"/>
          <w:marTop w:val="0"/>
          <w:marBottom w:val="0"/>
          <w:divBdr>
            <w:top w:val="none" w:sz="0" w:space="0" w:color="auto"/>
            <w:left w:val="none" w:sz="0" w:space="0" w:color="auto"/>
            <w:bottom w:val="none" w:sz="0" w:space="0" w:color="auto"/>
            <w:right w:val="none" w:sz="0" w:space="0" w:color="auto"/>
          </w:divBdr>
        </w:div>
        <w:div w:id="605967200">
          <w:marLeft w:val="0"/>
          <w:marRight w:val="0"/>
          <w:marTop w:val="0"/>
          <w:marBottom w:val="0"/>
          <w:divBdr>
            <w:top w:val="none" w:sz="0" w:space="0" w:color="auto"/>
            <w:left w:val="none" w:sz="0" w:space="0" w:color="auto"/>
            <w:bottom w:val="none" w:sz="0" w:space="0" w:color="auto"/>
            <w:right w:val="none" w:sz="0" w:space="0" w:color="auto"/>
          </w:divBdr>
        </w:div>
        <w:div w:id="248316658">
          <w:marLeft w:val="0"/>
          <w:marRight w:val="0"/>
          <w:marTop w:val="0"/>
          <w:marBottom w:val="0"/>
          <w:divBdr>
            <w:top w:val="none" w:sz="0" w:space="0" w:color="auto"/>
            <w:left w:val="none" w:sz="0" w:space="0" w:color="auto"/>
            <w:bottom w:val="none" w:sz="0" w:space="0" w:color="auto"/>
            <w:right w:val="none" w:sz="0" w:space="0" w:color="auto"/>
          </w:divBdr>
        </w:div>
        <w:div w:id="1136030292">
          <w:marLeft w:val="0"/>
          <w:marRight w:val="0"/>
          <w:marTop w:val="0"/>
          <w:marBottom w:val="0"/>
          <w:divBdr>
            <w:top w:val="none" w:sz="0" w:space="0" w:color="auto"/>
            <w:left w:val="none" w:sz="0" w:space="0" w:color="auto"/>
            <w:bottom w:val="none" w:sz="0" w:space="0" w:color="auto"/>
            <w:right w:val="none" w:sz="0" w:space="0" w:color="auto"/>
          </w:divBdr>
        </w:div>
        <w:div w:id="1958370834">
          <w:marLeft w:val="0"/>
          <w:marRight w:val="0"/>
          <w:marTop w:val="0"/>
          <w:marBottom w:val="0"/>
          <w:divBdr>
            <w:top w:val="none" w:sz="0" w:space="0" w:color="auto"/>
            <w:left w:val="none" w:sz="0" w:space="0" w:color="auto"/>
            <w:bottom w:val="none" w:sz="0" w:space="0" w:color="auto"/>
            <w:right w:val="none" w:sz="0" w:space="0" w:color="auto"/>
          </w:divBdr>
        </w:div>
      </w:divsChild>
    </w:div>
    <w:div w:id="1973057545">
      <w:bodyDiv w:val="1"/>
      <w:marLeft w:val="0"/>
      <w:marRight w:val="0"/>
      <w:marTop w:val="0"/>
      <w:marBottom w:val="0"/>
      <w:divBdr>
        <w:top w:val="none" w:sz="0" w:space="0" w:color="auto"/>
        <w:left w:val="none" w:sz="0" w:space="0" w:color="auto"/>
        <w:bottom w:val="none" w:sz="0" w:space="0" w:color="auto"/>
        <w:right w:val="none" w:sz="0" w:space="0" w:color="auto"/>
      </w:divBdr>
    </w:div>
    <w:div w:id="1991519294">
      <w:bodyDiv w:val="1"/>
      <w:marLeft w:val="0"/>
      <w:marRight w:val="0"/>
      <w:marTop w:val="0"/>
      <w:marBottom w:val="0"/>
      <w:divBdr>
        <w:top w:val="none" w:sz="0" w:space="0" w:color="auto"/>
        <w:left w:val="none" w:sz="0" w:space="0" w:color="auto"/>
        <w:bottom w:val="none" w:sz="0" w:space="0" w:color="auto"/>
        <w:right w:val="none" w:sz="0" w:space="0" w:color="auto"/>
      </w:divBdr>
      <w:divsChild>
        <w:div w:id="1224874865">
          <w:marLeft w:val="0"/>
          <w:marRight w:val="0"/>
          <w:marTop w:val="0"/>
          <w:marBottom w:val="0"/>
          <w:divBdr>
            <w:top w:val="none" w:sz="0" w:space="0" w:color="auto"/>
            <w:left w:val="none" w:sz="0" w:space="0" w:color="auto"/>
            <w:bottom w:val="none" w:sz="0" w:space="0" w:color="auto"/>
            <w:right w:val="none" w:sz="0" w:space="0" w:color="auto"/>
          </w:divBdr>
        </w:div>
        <w:div w:id="1026325956">
          <w:marLeft w:val="0"/>
          <w:marRight w:val="0"/>
          <w:marTop w:val="0"/>
          <w:marBottom w:val="0"/>
          <w:divBdr>
            <w:top w:val="none" w:sz="0" w:space="0" w:color="auto"/>
            <w:left w:val="none" w:sz="0" w:space="0" w:color="auto"/>
            <w:bottom w:val="none" w:sz="0" w:space="0" w:color="auto"/>
            <w:right w:val="none" w:sz="0" w:space="0" w:color="auto"/>
          </w:divBdr>
        </w:div>
        <w:div w:id="1881897112">
          <w:marLeft w:val="0"/>
          <w:marRight w:val="0"/>
          <w:marTop w:val="0"/>
          <w:marBottom w:val="0"/>
          <w:divBdr>
            <w:top w:val="none" w:sz="0" w:space="0" w:color="auto"/>
            <w:left w:val="none" w:sz="0" w:space="0" w:color="auto"/>
            <w:bottom w:val="none" w:sz="0" w:space="0" w:color="auto"/>
            <w:right w:val="none" w:sz="0" w:space="0" w:color="auto"/>
          </w:divBdr>
        </w:div>
        <w:div w:id="1740253685">
          <w:marLeft w:val="0"/>
          <w:marRight w:val="0"/>
          <w:marTop w:val="0"/>
          <w:marBottom w:val="0"/>
          <w:divBdr>
            <w:top w:val="none" w:sz="0" w:space="0" w:color="auto"/>
            <w:left w:val="none" w:sz="0" w:space="0" w:color="auto"/>
            <w:bottom w:val="none" w:sz="0" w:space="0" w:color="auto"/>
            <w:right w:val="none" w:sz="0" w:space="0" w:color="auto"/>
          </w:divBdr>
        </w:div>
        <w:div w:id="145904288">
          <w:marLeft w:val="0"/>
          <w:marRight w:val="0"/>
          <w:marTop w:val="0"/>
          <w:marBottom w:val="0"/>
          <w:divBdr>
            <w:top w:val="none" w:sz="0" w:space="0" w:color="auto"/>
            <w:left w:val="none" w:sz="0" w:space="0" w:color="auto"/>
            <w:bottom w:val="none" w:sz="0" w:space="0" w:color="auto"/>
            <w:right w:val="none" w:sz="0" w:space="0" w:color="auto"/>
          </w:divBdr>
        </w:div>
        <w:div w:id="2022244721">
          <w:marLeft w:val="0"/>
          <w:marRight w:val="0"/>
          <w:marTop w:val="0"/>
          <w:marBottom w:val="0"/>
          <w:divBdr>
            <w:top w:val="none" w:sz="0" w:space="0" w:color="auto"/>
            <w:left w:val="none" w:sz="0" w:space="0" w:color="auto"/>
            <w:bottom w:val="none" w:sz="0" w:space="0" w:color="auto"/>
            <w:right w:val="none" w:sz="0" w:space="0" w:color="auto"/>
          </w:divBdr>
        </w:div>
        <w:div w:id="209810410">
          <w:marLeft w:val="0"/>
          <w:marRight w:val="0"/>
          <w:marTop w:val="0"/>
          <w:marBottom w:val="0"/>
          <w:divBdr>
            <w:top w:val="none" w:sz="0" w:space="0" w:color="auto"/>
            <w:left w:val="none" w:sz="0" w:space="0" w:color="auto"/>
            <w:bottom w:val="none" w:sz="0" w:space="0" w:color="auto"/>
            <w:right w:val="none" w:sz="0" w:space="0" w:color="auto"/>
          </w:divBdr>
        </w:div>
      </w:divsChild>
    </w:div>
    <w:div w:id="2099713236">
      <w:bodyDiv w:val="1"/>
      <w:marLeft w:val="0"/>
      <w:marRight w:val="0"/>
      <w:marTop w:val="0"/>
      <w:marBottom w:val="0"/>
      <w:divBdr>
        <w:top w:val="none" w:sz="0" w:space="0" w:color="auto"/>
        <w:left w:val="none" w:sz="0" w:space="0" w:color="auto"/>
        <w:bottom w:val="none" w:sz="0" w:space="0" w:color="auto"/>
        <w:right w:val="none" w:sz="0" w:space="0" w:color="auto"/>
      </w:divBdr>
      <w:divsChild>
        <w:div w:id="900016817">
          <w:marLeft w:val="0"/>
          <w:marRight w:val="0"/>
          <w:marTop w:val="0"/>
          <w:marBottom w:val="0"/>
          <w:divBdr>
            <w:top w:val="none" w:sz="0" w:space="0" w:color="auto"/>
            <w:left w:val="none" w:sz="0" w:space="0" w:color="auto"/>
            <w:bottom w:val="none" w:sz="0" w:space="0" w:color="auto"/>
            <w:right w:val="none" w:sz="0" w:space="0" w:color="auto"/>
          </w:divBdr>
        </w:div>
        <w:div w:id="44567953">
          <w:marLeft w:val="0"/>
          <w:marRight w:val="0"/>
          <w:marTop w:val="0"/>
          <w:marBottom w:val="0"/>
          <w:divBdr>
            <w:top w:val="none" w:sz="0" w:space="0" w:color="auto"/>
            <w:left w:val="none" w:sz="0" w:space="0" w:color="auto"/>
            <w:bottom w:val="none" w:sz="0" w:space="0" w:color="auto"/>
            <w:right w:val="none" w:sz="0" w:space="0" w:color="auto"/>
          </w:divBdr>
        </w:div>
        <w:div w:id="130312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data.fda.gov/drugsatfda_docs/label/2020/125320s201lb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essdata.fda.gov/drugsatfda_docs/label/2024/125320s213lb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payment/part-b-drugs/asp-pricing-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eternalhealth.com/wp-content/uploads/2022/10/eternalHealth_MA-Part-B-PA-List-eff-1-1-2025.pdf" TargetMode="External"/><Relationship Id="rId10" Type="http://schemas.openxmlformats.org/officeDocument/2006/relationships/hyperlink" Target="https://welcome.optumrx.com/rxexternal/external-prescription-drug-list?type=PDPClientFormulary&amp;var=X25ETEGD&amp;infoid=X25ETEGD&amp;clientCode=ETHOED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ccessdata.fda.gov/drugsatfda_docs/label/2019/761062s002l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Props1.xml><?xml version="1.0" encoding="utf-8"?>
<ds:datastoreItem xmlns:ds="http://schemas.openxmlformats.org/officeDocument/2006/customXml" ds:itemID="{20AA0C41-8049-45AC-BFCC-77DDC6C78768}"/>
</file>

<file path=customXml/itemProps2.xml><?xml version="1.0" encoding="utf-8"?>
<ds:datastoreItem xmlns:ds="http://schemas.openxmlformats.org/officeDocument/2006/customXml" ds:itemID="{B27F8217-C98A-44F0-B7B3-30FEED3EA929}">
  <ds:schemaRefs>
    <ds:schemaRef ds:uri="http://schemas.openxmlformats.org/officeDocument/2006/bibliography"/>
  </ds:schemaRefs>
</ds:datastoreItem>
</file>

<file path=customXml/itemProps3.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4.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8000</Words>
  <Characters>45604</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3</cp:revision>
  <dcterms:created xsi:type="dcterms:W3CDTF">2025-04-09T13:53:00Z</dcterms:created>
  <dcterms:modified xsi:type="dcterms:W3CDTF">2025-07-28T19:25:00Z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