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21E23" w14:textId="739D08A7" w:rsidR="00682D71" w:rsidRDefault="00171CC3">
      <w:r>
        <w:rPr>
          <w:noProof/>
        </w:rPr>
        <w:drawing>
          <wp:anchor distT="0" distB="0" distL="114300" distR="114300" simplePos="0" relativeHeight="251659264" behindDoc="1" locked="0" layoutInCell="1" allowOverlap="1" wp14:anchorId="6A61DFF5" wp14:editId="6318911E">
            <wp:simplePos x="0" y="0"/>
            <wp:positionH relativeFrom="column">
              <wp:posOffset>1060704</wp:posOffset>
            </wp:positionH>
            <wp:positionV relativeFrom="paragraph">
              <wp:posOffset>17290</wp:posOffset>
            </wp:positionV>
            <wp:extent cx="3721100" cy="644869"/>
            <wp:effectExtent l="0" t="0" r="0"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721100" cy="6448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836E08" w14:textId="77777777" w:rsidR="00171CC3" w:rsidRPr="00171CC3" w:rsidRDefault="00171CC3" w:rsidP="00171CC3"/>
    <w:p w14:paraId="45427FC3" w14:textId="77777777" w:rsidR="00171CC3" w:rsidRPr="00A95390" w:rsidRDefault="00171CC3" w:rsidP="00171CC3">
      <w:pPr>
        <w:widowControl w:val="0"/>
        <w:autoSpaceDE w:val="0"/>
        <w:autoSpaceDN w:val="0"/>
        <w:spacing w:before="40" w:line="305" w:lineRule="auto"/>
        <w:ind w:right="432"/>
        <w:rPr>
          <w:rFonts w:ascii="Montserrat" w:eastAsia="Calibri" w:hAnsi="Montserrat" w:cs="Calibri"/>
          <w:color w:val="4A9EFF"/>
          <w:sz w:val="44"/>
          <w:szCs w:val="54"/>
          <w:lang w:bidi="en-US"/>
        </w:rPr>
      </w:pPr>
      <w:r w:rsidRPr="00A95390">
        <w:rPr>
          <w:rFonts w:ascii="Montserrat" w:eastAsia="Calibri" w:hAnsi="Montserrat" w:cs="Calibri"/>
          <w:noProof/>
          <w:lang w:bidi="en-US"/>
        </w:rPr>
        <mc:AlternateContent>
          <mc:Choice Requires="wps">
            <w:drawing>
              <wp:anchor distT="0" distB="0" distL="114300" distR="114300" simplePos="0" relativeHeight="251662336" behindDoc="0" locked="0" layoutInCell="1" allowOverlap="1" wp14:anchorId="29894559" wp14:editId="12363257">
                <wp:simplePos x="0" y="0"/>
                <wp:positionH relativeFrom="margin">
                  <wp:align>right</wp:align>
                </wp:positionH>
                <wp:positionV relativeFrom="paragraph">
                  <wp:posOffset>335915</wp:posOffset>
                </wp:positionV>
                <wp:extent cx="5918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18200" cy="0"/>
                        </a:xfrm>
                        <a:prstGeom prst="line">
                          <a:avLst/>
                        </a:prstGeom>
                        <a:noFill/>
                        <a:ln w="19050" cap="flat" cmpd="sng" algn="ctr">
                          <a:solidFill>
                            <a:srgbClr val="64CE3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A2FC86" id="Straight Connector 1"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4.8pt,26.45pt" to="880.8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" strokecolor="#64ce3a" strokeweight="1.5pt">
                <v:stroke joinstyle="miter"/>
                <w10:wrap anchorx="margin"/>
              </v:line>
            </w:pict>
          </mc:Fallback>
        </mc:AlternateContent>
      </w:r>
    </w:p>
    <w:p w14:paraId="232C432B" w14:textId="77777777" w:rsidR="00171CC3" w:rsidRPr="00171CC3" w:rsidRDefault="00171CC3" w:rsidP="00171CC3">
      <w:pPr>
        <w:widowControl w:val="0"/>
        <w:autoSpaceDE w:val="0"/>
        <w:autoSpaceDN w:val="0"/>
        <w:spacing w:after="0" w:line="240" w:lineRule="auto"/>
        <w:ind w:left="432" w:right="432"/>
        <w:jc w:val="center"/>
        <w:rPr>
          <w:rFonts w:ascii="Futura" w:eastAsia="Calibri" w:hAnsi="Futura" w:cs="Times New Roman"/>
          <w:color w:val="00AEDB"/>
          <w:sz w:val="24"/>
          <w:szCs w:val="24"/>
        </w:rPr>
      </w:pPr>
    </w:p>
    <w:p w14:paraId="74198E9A" w14:textId="77777777" w:rsidR="00171CC3" w:rsidRPr="00171CC3" w:rsidRDefault="00171CC3" w:rsidP="00171CC3">
      <w:pPr>
        <w:widowControl w:val="0"/>
        <w:autoSpaceDE w:val="0"/>
        <w:autoSpaceDN w:val="0"/>
        <w:spacing w:after="0" w:line="240" w:lineRule="auto"/>
        <w:ind w:left="432" w:right="432"/>
        <w:jc w:val="center"/>
        <w:rPr>
          <w:rFonts w:ascii="Futura" w:eastAsia="Calibri" w:hAnsi="Futura" w:cs="Calibri"/>
          <w:b/>
          <w:bCs/>
          <w:color w:val="00AEDB"/>
          <w:sz w:val="24"/>
          <w:szCs w:val="24"/>
          <w:lang w:bidi="en-US"/>
        </w:rPr>
      </w:pPr>
      <w:r w:rsidRPr="00171CC3">
        <w:rPr>
          <w:rFonts w:ascii="Futura" w:eastAsia="Calibri" w:hAnsi="Futura" w:cs="Calibri"/>
          <w:b/>
          <w:bCs/>
          <w:color w:val="00AEDB"/>
          <w:sz w:val="24"/>
          <w:szCs w:val="24"/>
          <w:lang w:bidi="en-US"/>
        </w:rPr>
        <w:t xml:space="preserve">Policy and Procedure </w:t>
      </w:r>
    </w:p>
    <w:p w14:paraId="13809CD0" w14:textId="7A67E513" w:rsidR="00171CC3" w:rsidRPr="00171CC3" w:rsidRDefault="00DE2BC6" w:rsidP="00171CC3">
      <w:pPr>
        <w:widowControl w:val="0"/>
        <w:autoSpaceDE w:val="0"/>
        <w:autoSpaceDN w:val="0"/>
        <w:spacing w:after="0" w:line="240" w:lineRule="auto"/>
        <w:ind w:left="432" w:right="432"/>
        <w:jc w:val="center"/>
        <w:rPr>
          <w:rFonts w:ascii="Futura" w:eastAsia="Calibri" w:hAnsi="Futura" w:cs="Calibri"/>
          <w:b/>
          <w:bCs/>
          <w:color w:val="00AEDB"/>
          <w:sz w:val="24"/>
          <w:szCs w:val="24"/>
          <w:lang w:bidi="en-US"/>
        </w:rPr>
      </w:pPr>
      <w:r>
        <w:rPr>
          <w:rFonts w:ascii="Futura" w:eastAsia="Calibri" w:hAnsi="Futura" w:cs="Calibri"/>
          <w:b/>
          <w:bCs/>
          <w:color w:val="00AEDB"/>
          <w:sz w:val="24"/>
          <w:szCs w:val="24"/>
          <w:lang w:bidi="en-US"/>
        </w:rPr>
        <w:t>Colony Stimulating Factors</w:t>
      </w:r>
    </w:p>
    <w:p w14:paraId="480C9C92" w14:textId="006F2CE1" w:rsidR="00171CC3" w:rsidRDefault="00171CC3" w:rsidP="00171CC3">
      <w:pPr>
        <w:widowControl w:val="0"/>
        <w:autoSpaceDE w:val="0"/>
        <w:autoSpaceDN w:val="0"/>
        <w:spacing w:after="0" w:line="240" w:lineRule="auto"/>
        <w:ind w:left="432" w:right="432"/>
        <w:jc w:val="center"/>
        <w:rPr>
          <w:rFonts w:ascii="Futura" w:eastAsia="Calibri" w:hAnsi="Futura" w:cs="Calibri"/>
          <w:b/>
          <w:bCs/>
          <w:color w:val="00AEDB"/>
          <w:sz w:val="24"/>
          <w:szCs w:val="24"/>
          <w:lang w:bidi="en-US"/>
        </w:rPr>
      </w:pPr>
      <w:r w:rsidRPr="005226EB">
        <w:rPr>
          <w:rFonts w:ascii="Futura" w:eastAsia="Calibri" w:hAnsi="Futura" w:cs="Calibri"/>
          <w:b/>
          <w:bCs/>
          <w:color w:val="00AEDB"/>
          <w:sz w:val="24"/>
          <w:szCs w:val="24"/>
          <w:lang w:bidi="en-US"/>
        </w:rPr>
        <w:t>POLICY #</w:t>
      </w:r>
      <w:r w:rsidR="0033442B" w:rsidRPr="005226EB">
        <w:rPr>
          <w:rFonts w:ascii="Futura" w:eastAsia="Calibri" w:hAnsi="Futura" w:cs="Calibri"/>
          <w:b/>
          <w:bCs/>
          <w:color w:val="00AEDB"/>
          <w:sz w:val="24"/>
          <w:szCs w:val="24"/>
          <w:lang w:bidi="en-US"/>
        </w:rPr>
        <w:t xml:space="preserve"> </w:t>
      </w:r>
      <w:r w:rsidR="00DE2BC6">
        <w:rPr>
          <w:rFonts w:ascii="Futura" w:eastAsia="Calibri" w:hAnsi="Futura" w:cs="Calibri"/>
          <w:b/>
          <w:bCs/>
          <w:color w:val="00AEDB"/>
          <w:sz w:val="24"/>
          <w:szCs w:val="24"/>
          <w:lang w:bidi="en-US"/>
        </w:rPr>
        <w:t>UMST-8</w:t>
      </w:r>
    </w:p>
    <w:p w14:paraId="26DF720B" w14:textId="3A97F0F8" w:rsidR="00171CC3" w:rsidRPr="00171CC3" w:rsidRDefault="00171CC3" w:rsidP="00171CC3">
      <w:pPr>
        <w:widowControl w:val="0"/>
        <w:autoSpaceDE w:val="0"/>
        <w:autoSpaceDN w:val="0"/>
        <w:spacing w:after="0" w:line="240" w:lineRule="auto"/>
        <w:ind w:left="432" w:right="432"/>
        <w:jc w:val="center"/>
        <w:rPr>
          <w:rFonts w:ascii="Futura" w:eastAsia="Calibri" w:hAnsi="Futura" w:cs="Calibri"/>
          <w:b/>
          <w:bCs/>
          <w:color w:val="00AEDB"/>
          <w:sz w:val="24"/>
          <w:szCs w:val="24"/>
          <w:lang w:bidi="en-US"/>
        </w:rPr>
      </w:pPr>
      <w:r w:rsidRPr="005226EB">
        <w:rPr>
          <w:rFonts w:ascii="Futura" w:eastAsia="Calibri" w:hAnsi="Futura" w:cs="Calibri"/>
          <w:b/>
          <w:bCs/>
          <w:color w:val="00AEDB"/>
          <w:sz w:val="24"/>
          <w:szCs w:val="24"/>
          <w:lang w:bidi="en-US"/>
        </w:rPr>
        <w:t xml:space="preserve">Version: </w:t>
      </w:r>
      <w:r w:rsidR="00E15732">
        <w:rPr>
          <w:rFonts w:ascii="Futura" w:eastAsia="Calibri" w:hAnsi="Futura" w:cs="Calibri"/>
          <w:b/>
          <w:bCs/>
          <w:color w:val="00AEDB"/>
          <w:sz w:val="24"/>
          <w:szCs w:val="24"/>
          <w:lang w:bidi="en-US"/>
        </w:rPr>
        <w:t>1</w:t>
      </w:r>
      <w:r w:rsidR="001A17A5">
        <w:rPr>
          <w:rFonts w:ascii="Futura" w:eastAsia="Calibri" w:hAnsi="Futura" w:cs="Calibri"/>
          <w:b/>
          <w:bCs/>
          <w:color w:val="00AEDB"/>
          <w:sz w:val="24"/>
          <w:szCs w:val="24"/>
          <w:lang w:bidi="en-US"/>
        </w:rPr>
        <w:t>.0</w:t>
      </w:r>
      <w:r w:rsidR="00C11B4C">
        <w:rPr>
          <w:rFonts w:ascii="Futura" w:eastAsia="Calibri" w:hAnsi="Futura" w:cs="Calibri"/>
          <w:b/>
          <w:bCs/>
          <w:color w:val="00AEDB"/>
          <w:sz w:val="24"/>
          <w:szCs w:val="24"/>
          <w:lang w:bidi="en-US"/>
        </w:rPr>
        <w:t xml:space="preserve"> </w:t>
      </w:r>
      <w:r w:rsidR="0033442B" w:rsidRPr="005226EB">
        <w:rPr>
          <w:rFonts w:ascii="Futura" w:eastAsia="Calibri" w:hAnsi="Futura" w:cs="Calibri"/>
          <w:b/>
          <w:bCs/>
          <w:color w:val="00AEDB"/>
          <w:sz w:val="24"/>
          <w:szCs w:val="24"/>
          <w:lang w:bidi="en-US"/>
        </w:rPr>
        <w:t xml:space="preserve"> </w:t>
      </w:r>
    </w:p>
    <w:p w14:paraId="6526E423" w14:textId="77777777" w:rsidR="00171CC3" w:rsidRDefault="00171CC3" w:rsidP="00171CC3">
      <w:pPr>
        <w:widowControl w:val="0"/>
        <w:autoSpaceDE w:val="0"/>
        <w:autoSpaceDN w:val="0"/>
        <w:spacing w:line="240" w:lineRule="auto"/>
        <w:rPr>
          <w:rFonts w:ascii="Futura" w:eastAsia="Calibri" w:hAnsi="Futura" w:cs="Calibri"/>
          <w:color w:val="4A9EFF"/>
          <w:sz w:val="24"/>
          <w:szCs w:val="24"/>
          <w:lang w:bidi="en-US"/>
        </w:rPr>
      </w:pPr>
    </w:p>
    <w:p w14:paraId="712B0DD6" w14:textId="77777777" w:rsidR="00320403" w:rsidRDefault="00171CC3" w:rsidP="00320403">
      <w:pPr>
        <w:widowControl w:val="0"/>
        <w:autoSpaceDE w:val="0"/>
        <w:autoSpaceDN w:val="0"/>
        <w:spacing w:line="240" w:lineRule="auto"/>
        <w:rPr>
          <w:rFonts w:ascii="Futura" w:hAnsi="Futura"/>
          <w:b/>
          <w:bCs/>
          <w:color w:val="00AEDB"/>
          <w:sz w:val="24"/>
          <w:szCs w:val="24"/>
        </w:rPr>
      </w:pPr>
      <w:r w:rsidRPr="00171CC3">
        <w:rPr>
          <w:rFonts w:ascii="Futura" w:eastAsia="Calibri" w:hAnsi="Futura" w:cs="Calibri"/>
          <w:noProof/>
          <w:sz w:val="24"/>
          <w:szCs w:val="24"/>
          <w:lang w:bidi="en-US"/>
        </w:rPr>
        <mc:AlternateContent>
          <mc:Choice Requires="wps">
            <w:drawing>
              <wp:anchor distT="0" distB="0" distL="114300" distR="114300" simplePos="0" relativeHeight="251661312" behindDoc="0" locked="0" layoutInCell="1" allowOverlap="1" wp14:anchorId="4435E043" wp14:editId="61E94E11">
                <wp:simplePos x="0" y="0"/>
                <wp:positionH relativeFrom="margin">
                  <wp:align>left</wp:align>
                </wp:positionH>
                <wp:positionV relativeFrom="paragraph">
                  <wp:posOffset>8255</wp:posOffset>
                </wp:positionV>
                <wp:extent cx="59182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918200" cy="0"/>
                        </a:xfrm>
                        <a:prstGeom prst="line">
                          <a:avLst/>
                        </a:prstGeom>
                        <a:noFill/>
                        <a:ln w="19050" cap="flat" cmpd="sng" algn="ctr">
                          <a:solidFill>
                            <a:srgbClr val="64CE3A"/>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C6763E" id="Straight Connector 9"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5pt" to="466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" strokecolor="#64ce3a" strokeweight="1.5pt">
                <v:stroke joinstyle="miter"/>
                <w10:wrap anchorx="margin"/>
              </v:line>
            </w:pict>
          </mc:Fallback>
        </mc:AlternateContent>
      </w:r>
    </w:p>
    <w:tbl>
      <w:tblPr>
        <w:tblStyle w:val="GridTable1Light"/>
        <w:tblW w:w="0" w:type="auto"/>
        <w:tblLook w:val="04A0" w:firstRow="1" w:lastRow="0" w:firstColumn="1" w:lastColumn="0" w:noHBand="0" w:noVBand="1"/>
      </w:tblPr>
      <w:tblGrid>
        <w:gridCol w:w="1615"/>
        <w:gridCol w:w="2880"/>
        <w:gridCol w:w="1890"/>
        <w:gridCol w:w="2945"/>
      </w:tblGrid>
      <w:tr w:rsidR="00320403" w14:paraId="0538398F" w14:textId="77777777" w:rsidTr="00320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BBECC85" w14:textId="77777777" w:rsidR="00320403" w:rsidRPr="00E15732" w:rsidRDefault="00320403">
            <w:pPr>
              <w:widowControl w:val="0"/>
              <w:autoSpaceDE w:val="0"/>
              <w:autoSpaceDN w:val="0"/>
              <w:rPr>
                <w:rFonts w:ascii="Futura" w:eastAsia="Calibri" w:hAnsi="Futura" w:cs="Calibri"/>
                <w:color w:val="000000"/>
                <w:sz w:val="20"/>
                <w:szCs w:val="20"/>
                <w:lang w:bidi="en-US"/>
              </w:rPr>
            </w:pPr>
            <w:r w:rsidRPr="00E15732">
              <w:rPr>
                <w:rFonts w:ascii="Futura" w:eastAsia="Calibri" w:hAnsi="Futura" w:cs="Calibri"/>
                <w:color w:val="000000"/>
                <w:sz w:val="20"/>
                <w:szCs w:val="20"/>
                <w:lang w:bidi="en-US"/>
              </w:rPr>
              <w:t>Binder:</w:t>
            </w:r>
          </w:p>
        </w:tc>
        <w:tc>
          <w:tcPr>
            <w:tcW w:w="2880" w:type="dxa"/>
            <w:tcBorders>
              <w:top w:val="single" w:sz="4" w:space="0" w:color="999999" w:themeColor="text1" w:themeTint="66"/>
              <w:left w:val="single" w:sz="4" w:space="0" w:color="999999" w:themeColor="text1" w:themeTint="66"/>
              <w:right w:val="single" w:sz="4" w:space="0" w:color="999999" w:themeColor="text1" w:themeTint="66"/>
            </w:tcBorders>
          </w:tcPr>
          <w:p w14:paraId="522CD696" w14:textId="0010C25D" w:rsidR="00320403" w:rsidRDefault="00BB6512" w:rsidP="00CD77BC">
            <w:pPr>
              <w:widowControl w:val="0"/>
              <w:autoSpaceDE w:val="0"/>
              <w:autoSpaceDN w:val="0"/>
              <w:cnfStyle w:val="100000000000" w:firstRow="1"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UM</w:t>
            </w:r>
          </w:p>
        </w:tc>
        <w:tc>
          <w:tcPr>
            <w:tcW w:w="189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D311E06" w14:textId="77777777" w:rsidR="00320403" w:rsidRDefault="00320403">
            <w:pPr>
              <w:widowControl w:val="0"/>
              <w:autoSpaceDE w:val="0"/>
              <w:autoSpaceDN w:val="0"/>
              <w:cnfStyle w:val="100000000000" w:firstRow="1"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Department:</w:t>
            </w:r>
          </w:p>
        </w:tc>
        <w:tc>
          <w:tcPr>
            <w:tcW w:w="294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0598461" w14:textId="7076B979" w:rsidR="00320403" w:rsidRDefault="00D001BF">
            <w:pPr>
              <w:spacing w:line="276" w:lineRule="auto"/>
              <w:cnfStyle w:val="100000000000" w:firstRow="1"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Medical Management-UM</w:t>
            </w:r>
          </w:p>
        </w:tc>
      </w:tr>
      <w:tr w:rsidR="00320403" w14:paraId="5988EF9A" w14:textId="77777777" w:rsidTr="00320403">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04DEE4" w14:textId="77777777" w:rsidR="00320403" w:rsidRDefault="00320403">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Policy Contact:</w:t>
            </w:r>
          </w:p>
        </w:tc>
        <w:tc>
          <w:tcPr>
            <w:tcW w:w="28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E7C508" w14:textId="7322F061" w:rsidR="00320403" w:rsidRDefault="00BB6512">
            <w:pPr>
              <w:spacing w:line="276" w:lineRule="auto"/>
              <w:cnfStyle w:val="000000000000" w:firstRow="0"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VP Pharmacy</w:t>
            </w:r>
          </w:p>
        </w:tc>
        <w:tc>
          <w:tcPr>
            <w:tcW w:w="18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7E7C54" w14:textId="77777777" w:rsidR="00320403" w:rsidRDefault="00320403">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Futura" w:eastAsia="Calibri" w:hAnsi="Futura" w:cs="Calibri"/>
                <w:b/>
                <w:bCs/>
                <w:color w:val="000000"/>
                <w:sz w:val="20"/>
                <w:szCs w:val="20"/>
                <w:lang w:bidi="en-US"/>
              </w:rPr>
            </w:pPr>
            <w:r>
              <w:rPr>
                <w:rFonts w:ascii="Futura" w:eastAsia="Calibri" w:hAnsi="Futura" w:cs="Calibri"/>
                <w:b/>
                <w:bCs/>
                <w:color w:val="000000"/>
                <w:sz w:val="20"/>
                <w:szCs w:val="20"/>
                <w:lang w:bidi="en-US"/>
              </w:rPr>
              <w:t>Effective Date:</w:t>
            </w:r>
          </w:p>
        </w:tc>
        <w:tc>
          <w:tcPr>
            <w:tcW w:w="29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77473BD" w14:textId="56BAA1CB" w:rsidR="00320403" w:rsidRDefault="005758C5">
            <w:pPr>
              <w:spacing w:line="276" w:lineRule="auto"/>
              <w:cnfStyle w:val="000000000000" w:firstRow="0"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r>
              <w:rPr>
                <w:rFonts w:ascii="Futura" w:eastAsia="Calibri" w:hAnsi="Futura" w:cs="Calibri"/>
                <w:color w:val="000000"/>
                <w:sz w:val="20"/>
                <w:szCs w:val="20"/>
                <w:lang w:bidi="en-US"/>
              </w:rPr>
              <w:t>1</w:t>
            </w:r>
            <w:r w:rsidR="00D001BF">
              <w:rPr>
                <w:rFonts w:ascii="Futura" w:eastAsia="Calibri" w:hAnsi="Futura" w:cs="Calibri"/>
                <w:color w:val="000000"/>
                <w:sz w:val="20"/>
                <w:szCs w:val="20"/>
                <w:lang w:bidi="en-US"/>
              </w:rPr>
              <w:t>/1/2</w:t>
            </w:r>
            <w:r>
              <w:rPr>
                <w:rFonts w:ascii="Futura" w:eastAsia="Calibri" w:hAnsi="Futura" w:cs="Calibri"/>
                <w:color w:val="000000"/>
                <w:sz w:val="20"/>
                <w:szCs w:val="20"/>
                <w:lang w:bidi="en-US"/>
              </w:rPr>
              <w:t>6</w:t>
            </w:r>
          </w:p>
        </w:tc>
      </w:tr>
      <w:tr w:rsidR="00320403" w14:paraId="0E783544" w14:textId="77777777" w:rsidTr="00320403">
        <w:tc>
          <w:tcPr>
            <w:cnfStyle w:val="001000000000" w:firstRow="0" w:lastRow="0" w:firstColumn="1" w:lastColumn="0" w:oddVBand="0" w:evenVBand="0" w:oddHBand="0" w:evenHBand="0" w:firstRowFirstColumn="0" w:firstRowLastColumn="0" w:lastRowFirstColumn="0" w:lastRowLastColumn="0"/>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5CCDE5" w14:textId="77777777" w:rsidR="00320403" w:rsidRDefault="00320403">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Date Last Reviewed:</w:t>
            </w:r>
          </w:p>
        </w:tc>
        <w:tc>
          <w:tcPr>
            <w:tcW w:w="288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453BA10" w14:textId="4EAF7391" w:rsidR="00320403" w:rsidRDefault="00320403">
            <w:pPr>
              <w:cnfStyle w:val="000000000000" w:firstRow="0"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p>
        </w:tc>
        <w:tc>
          <w:tcPr>
            <w:tcW w:w="18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B15B2A2" w14:textId="77777777" w:rsidR="00320403" w:rsidRDefault="00320403">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Futura" w:eastAsia="Calibri" w:hAnsi="Futura" w:cs="Calibri"/>
                <w:b/>
                <w:bCs/>
                <w:color w:val="000000"/>
                <w:sz w:val="20"/>
                <w:szCs w:val="20"/>
                <w:lang w:bidi="en-US"/>
              </w:rPr>
            </w:pPr>
            <w:r>
              <w:rPr>
                <w:rFonts w:ascii="Futura" w:eastAsia="Calibri" w:hAnsi="Futura" w:cs="Calibri"/>
                <w:b/>
                <w:bCs/>
                <w:color w:val="000000"/>
                <w:sz w:val="20"/>
                <w:szCs w:val="20"/>
                <w:lang w:bidi="en-US"/>
              </w:rPr>
              <w:t>Date of Policy Committee Approval:</w:t>
            </w:r>
          </w:p>
        </w:tc>
        <w:tc>
          <w:tcPr>
            <w:tcW w:w="29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A72BAE2" w14:textId="0C145934" w:rsidR="00320403" w:rsidRPr="001A17A5" w:rsidRDefault="00320403" w:rsidP="001A17A5">
            <w:pPr>
              <w:spacing w:line="480" w:lineRule="auto"/>
              <w:cnfStyle w:val="000000000000" w:firstRow="0" w:lastRow="0" w:firstColumn="0" w:lastColumn="0" w:oddVBand="0" w:evenVBand="0" w:oddHBand="0" w:evenHBand="0" w:firstRowFirstColumn="0" w:firstRowLastColumn="0" w:lastRowFirstColumn="0" w:lastRowLastColumn="0"/>
              <w:rPr>
                <w:rFonts w:ascii="Futura" w:eastAsia="Calibri" w:hAnsi="Futura" w:cs="Calibri"/>
                <w:color w:val="000000"/>
                <w:sz w:val="20"/>
                <w:szCs w:val="20"/>
                <w:lang w:bidi="en-US"/>
              </w:rPr>
            </w:pPr>
          </w:p>
        </w:tc>
      </w:tr>
    </w:tbl>
    <w:p w14:paraId="34A017EB" w14:textId="77777777" w:rsidR="00320403" w:rsidRDefault="00320403" w:rsidP="00320403">
      <w:pPr>
        <w:widowControl w:val="0"/>
        <w:autoSpaceDE w:val="0"/>
        <w:autoSpaceDN w:val="0"/>
        <w:spacing w:line="240" w:lineRule="auto"/>
        <w:rPr>
          <w:rFonts w:ascii="Futura" w:eastAsia="Calibri" w:hAnsi="Futura" w:cs="Calibri"/>
          <w:b/>
          <w:bCs/>
          <w:color w:val="4A9EFF"/>
          <w:sz w:val="24"/>
          <w:szCs w:val="24"/>
          <w:lang w:bidi="en-US"/>
        </w:rPr>
      </w:pPr>
    </w:p>
    <w:tbl>
      <w:tblPr>
        <w:tblStyle w:val="TableGrid1"/>
        <w:tblW w:w="9345" w:type="dxa"/>
        <w:tblBorders>
          <w:top w:val="single" w:sz="12" w:space="0" w:color="A5A5A5"/>
          <w:left w:val="single" w:sz="12" w:space="0" w:color="A5A5A5"/>
          <w:bottom w:val="single" w:sz="12" w:space="0" w:color="A5A5A5"/>
          <w:right w:val="single" w:sz="12" w:space="0" w:color="A5A5A5"/>
          <w:insideH w:val="single" w:sz="12" w:space="0" w:color="A5A5A5"/>
          <w:insideV w:val="single" w:sz="12" w:space="0" w:color="A5A5A5"/>
        </w:tblBorders>
        <w:tblLook w:val="04A0" w:firstRow="1" w:lastRow="0" w:firstColumn="1" w:lastColumn="0" w:noHBand="0" w:noVBand="1"/>
      </w:tblPr>
      <w:tblGrid>
        <w:gridCol w:w="1546"/>
        <w:gridCol w:w="2510"/>
        <w:gridCol w:w="1880"/>
        <w:gridCol w:w="3409"/>
      </w:tblGrid>
      <w:tr w:rsidR="00320403" w14:paraId="47A77D58" w14:textId="77777777" w:rsidTr="00320403">
        <w:tc>
          <w:tcPr>
            <w:tcW w:w="9345" w:type="dxa"/>
            <w:gridSpan w:val="4"/>
            <w:tcBorders>
              <w:top w:val="single" w:sz="12" w:space="0" w:color="A5A5A5"/>
              <w:left w:val="single" w:sz="12" w:space="0" w:color="A5A5A5"/>
              <w:bottom w:val="single" w:sz="12" w:space="0" w:color="A5A5A5"/>
              <w:right w:val="single" w:sz="12" w:space="0" w:color="A5A5A5"/>
            </w:tcBorders>
            <w:hideMark/>
          </w:tcPr>
          <w:p w14:paraId="7CC25E45" w14:textId="77777777" w:rsidR="00320403" w:rsidRDefault="00320403">
            <w:pPr>
              <w:widowControl w:val="0"/>
              <w:autoSpaceDE w:val="0"/>
              <w:autoSpaceDN w:val="0"/>
              <w:jc w:val="center"/>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Revision/Approval History</w:t>
            </w:r>
          </w:p>
        </w:tc>
      </w:tr>
      <w:tr w:rsidR="00320403" w14:paraId="02459072" w14:textId="77777777" w:rsidTr="00320403">
        <w:tc>
          <w:tcPr>
            <w:tcW w:w="1546" w:type="dxa"/>
            <w:tcBorders>
              <w:top w:val="single" w:sz="12" w:space="0" w:color="A5A5A5"/>
              <w:left w:val="single" w:sz="12" w:space="0" w:color="A5A5A5"/>
              <w:bottom w:val="single" w:sz="12" w:space="0" w:color="A5A5A5"/>
              <w:right w:val="single" w:sz="12" w:space="0" w:color="A5A5A5"/>
            </w:tcBorders>
            <w:hideMark/>
          </w:tcPr>
          <w:p w14:paraId="7F80719B" w14:textId="77777777" w:rsidR="00320403" w:rsidRDefault="00320403">
            <w:pPr>
              <w:widowControl w:val="0"/>
              <w:autoSpaceDE w:val="0"/>
              <w:autoSpaceDN w:val="0"/>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Date</w:t>
            </w:r>
          </w:p>
        </w:tc>
        <w:tc>
          <w:tcPr>
            <w:tcW w:w="2510" w:type="dxa"/>
            <w:tcBorders>
              <w:top w:val="single" w:sz="12" w:space="0" w:color="A5A5A5"/>
              <w:left w:val="single" w:sz="12" w:space="0" w:color="A5A5A5"/>
              <w:bottom w:val="single" w:sz="12" w:space="0" w:color="A5A5A5"/>
              <w:right w:val="single" w:sz="12" w:space="0" w:color="A5A5A5"/>
            </w:tcBorders>
            <w:hideMark/>
          </w:tcPr>
          <w:p w14:paraId="7D9342F0" w14:textId="77777777" w:rsidR="00320403" w:rsidRDefault="00320403">
            <w:pPr>
              <w:widowControl w:val="0"/>
              <w:autoSpaceDE w:val="0"/>
              <w:autoSpaceDN w:val="0"/>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Name</w:t>
            </w:r>
          </w:p>
        </w:tc>
        <w:tc>
          <w:tcPr>
            <w:tcW w:w="1880" w:type="dxa"/>
            <w:tcBorders>
              <w:top w:val="single" w:sz="12" w:space="0" w:color="A5A5A5"/>
              <w:left w:val="single" w:sz="12" w:space="0" w:color="A5A5A5"/>
              <w:bottom w:val="single" w:sz="12" w:space="0" w:color="A5A5A5"/>
              <w:right w:val="single" w:sz="12" w:space="0" w:color="A5A5A5"/>
            </w:tcBorders>
            <w:hideMark/>
          </w:tcPr>
          <w:p w14:paraId="157BE64E" w14:textId="77777777" w:rsidR="00320403" w:rsidRDefault="00320403">
            <w:pPr>
              <w:widowControl w:val="0"/>
              <w:autoSpaceDE w:val="0"/>
              <w:autoSpaceDN w:val="0"/>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Title</w:t>
            </w:r>
          </w:p>
        </w:tc>
        <w:tc>
          <w:tcPr>
            <w:tcW w:w="3409" w:type="dxa"/>
            <w:tcBorders>
              <w:top w:val="single" w:sz="12" w:space="0" w:color="A5A5A5"/>
              <w:left w:val="single" w:sz="12" w:space="0" w:color="A5A5A5"/>
              <w:bottom w:val="single" w:sz="12" w:space="0" w:color="A5A5A5"/>
              <w:right w:val="single" w:sz="12" w:space="0" w:color="A5A5A5"/>
            </w:tcBorders>
            <w:hideMark/>
          </w:tcPr>
          <w:p w14:paraId="4D3EEE37" w14:textId="77777777" w:rsidR="00320403" w:rsidRDefault="00320403">
            <w:pPr>
              <w:widowControl w:val="0"/>
              <w:autoSpaceDE w:val="0"/>
              <w:autoSpaceDN w:val="0"/>
              <w:rPr>
                <w:rFonts w:ascii="Futura" w:eastAsia="Calibri" w:hAnsi="Futura" w:cs="Calibri"/>
                <w:b/>
                <w:bCs/>
                <w:color w:val="00AEDB"/>
                <w:sz w:val="20"/>
                <w:szCs w:val="20"/>
                <w:lang w:bidi="en-US"/>
              </w:rPr>
            </w:pPr>
            <w:r>
              <w:rPr>
                <w:rFonts w:ascii="Futura" w:eastAsia="Calibri" w:hAnsi="Futura" w:cs="Calibri"/>
                <w:b/>
                <w:bCs/>
                <w:color w:val="00AEDB"/>
                <w:sz w:val="20"/>
                <w:szCs w:val="20"/>
                <w:lang w:bidi="en-US"/>
              </w:rPr>
              <w:t>Description</w:t>
            </w:r>
          </w:p>
        </w:tc>
      </w:tr>
      <w:tr w:rsidR="00320403" w14:paraId="67145A51" w14:textId="77777777" w:rsidTr="00320403">
        <w:tc>
          <w:tcPr>
            <w:tcW w:w="1546" w:type="dxa"/>
            <w:tcBorders>
              <w:top w:val="single" w:sz="12" w:space="0" w:color="A5A5A5"/>
              <w:left w:val="single" w:sz="12" w:space="0" w:color="A5A5A5"/>
              <w:bottom w:val="single" w:sz="12" w:space="0" w:color="A5A5A5"/>
              <w:right w:val="single" w:sz="12" w:space="0" w:color="A5A5A5"/>
            </w:tcBorders>
          </w:tcPr>
          <w:p w14:paraId="41C31E6F" w14:textId="6037A276" w:rsidR="00320403" w:rsidRDefault="00BB6512">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2/18/25</w:t>
            </w:r>
          </w:p>
        </w:tc>
        <w:tc>
          <w:tcPr>
            <w:tcW w:w="2510" w:type="dxa"/>
            <w:tcBorders>
              <w:top w:val="single" w:sz="12" w:space="0" w:color="A5A5A5"/>
              <w:left w:val="single" w:sz="12" w:space="0" w:color="A5A5A5"/>
              <w:bottom w:val="single" w:sz="12" w:space="0" w:color="A5A5A5"/>
              <w:right w:val="single" w:sz="12" w:space="0" w:color="A5A5A5"/>
            </w:tcBorders>
          </w:tcPr>
          <w:p w14:paraId="75736AEE" w14:textId="40E4F33F" w:rsidR="00320403" w:rsidRDefault="00E768B3">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 xml:space="preserve">Policy &amp; Procedure Committee </w:t>
            </w:r>
          </w:p>
        </w:tc>
        <w:tc>
          <w:tcPr>
            <w:tcW w:w="1880" w:type="dxa"/>
            <w:tcBorders>
              <w:top w:val="single" w:sz="12" w:space="0" w:color="A5A5A5"/>
              <w:left w:val="single" w:sz="12" w:space="0" w:color="A5A5A5"/>
              <w:bottom w:val="single" w:sz="12" w:space="0" w:color="A5A5A5"/>
              <w:right w:val="single" w:sz="12" w:space="0" w:color="A5A5A5"/>
            </w:tcBorders>
          </w:tcPr>
          <w:p w14:paraId="67DA1ECD" w14:textId="30516CB1" w:rsidR="00320403" w:rsidRDefault="00BB6512">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Submission</w:t>
            </w:r>
          </w:p>
        </w:tc>
        <w:tc>
          <w:tcPr>
            <w:tcW w:w="3409" w:type="dxa"/>
            <w:tcBorders>
              <w:top w:val="single" w:sz="12" w:space="0" w:color="A5A5A5"/>
              <w:left w:val="single" w:sz="12" w:space="0" w:color="A5A5A5"/>
              <w:bottom w:val="single" w:sz="12" w:space="0" w:color="A5A5A5"/>
              <w:right w:val="single" w:sz="12" w:space="0" w:color="A5A5A5"/>
            </w:tcBorders>
          </w:tcPr>
          <w:p w14:paraId="35DC7F81" w14:textId="45489438" w:rsidR="00320403" w:rsidRDefault="00CB5E28">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 xml:space="preserve">New policy. </w:t>
            </w:r>
          </w:p>
        </w:tc>
      </w:tr>
      <w:tr w:rsidR="00320403" w14:paraId="7973D708" w14:textId="77777777" w:rsidTr="00320403">
        <w:tc>
          <w:tcPr>
            <w:tcW w:w="1546" w:type="dxa"/>
            <w:tcBorders>
              <w:top w:val="single" w:sz="12" w:space="0" w:color="A5A5A5"/>
              <w:left w:val="single" w:sz="12" w:space="0" w:color="A5A5A5"/>
              <w:bottom w:val="single" w:sz="12" w:space="0" w:color="A5A5A5"/>
              <w:right w:val="single" w:sz="12" w:space="0" w:color="A5A5A5"/>
            </w:tcBorders>
          </w:tcPr>
          <w:p w14:paraId="12D9C931" w14:textId="27639AB8" w:rsidR="00320403" w:rsidRDefault="00BB6512">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2/18/25</w:t>
            </w:r>
          </w:p>
        </w:tc>
        <w:tc>
          <w:tcPr>
            <w:tcW w:w="2510" w:type="dxa"/>
            <w:tcBorders>
              <w:top w:val="single" w:sz="12" w:space="0" w:color="A5A5A5"/>
              <w:left w:val="single" w:sz="12" w:space="0" w:color="A5A5A5"/>
              <w:bottom w:val="single" w:sz="12" w:space="0" w:color="A5A5A5"/>
              <w:right w:val="single" w:sz="12" w:space="0" w:color="A5A5A5"/>
            </w:tcBorders>
          </w:tcPr>
          <w:p w14:paraId="480828A1" w14:textId="3ADDDD03" w:rsidR="00320403" w:rsidRDefault="00BB6512">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UM Committee</w:t>
            </w:r>
          </w:p>
        </w:tc>
        <w:tc>
          <w:tcPr>
            <w:tcW w:w="1880" w:type="dxa"/>
            <w:tcBorders>
              <w:top w:val="single" w:sz="12" w:space="0" w:color="A5A5A5"/>
              <w:left w:val="single" w:sz="12" w:space="0" w:color="A5A5A5"/>
              <w:bottom w:val="single" w:sz="12" w:space="0" w:color="A5A5A5"/>
              <w:right w:val="single" w:sz="12" w:space="0" w:color="A5A5A5"/>
            </w:tcBorders>
          </w:tcPr>
          <w:p w14:paraId="7C0B7B6E" w14:textId="12B0D477" w:rsidR="00320403" w:rsidRDefault="00BB6512">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Submission</w:t>
            </w:r>
          </w:p>
        </w:tc>
        <w:tc>
          <w:tcPr>
            <w:tcW w:w="3409" w:type="dxa"/>
            <w:tcBorders>
              <w:top w:val="single" w:sz="12" w:space="0" w:color="A5A5A5"/>
              <w:left w:val="single" w:sz="12" w:space="0" w:color="A5A5A5"/>
              <w:bottom w:val="single" w:sz="12" w:space="0" w:color="A5A5A5"/>
              <w:right w:val="single" w:sz="12" w:space="0" w:color="A5A5A5"/>
            </w:tcBorders>
          </w:tcPr>
          <w:p w14:paraId="5F8B2E15" w14:textId="6FD80135" w:rsidR="00320403" w:rsidRDefault="00BB6512">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New policy</w:t>
            </w:r>
          </w:p>
        </w:tc>
      </w:tr>
      <w:tr w:rsidR="005758C5" w14:paraId="105E8256" w14:textId="77777777" w:rsidTr="00320403">
        <w:tc>
          <w:tcPr>
            <w:tcW w:w="1546" w:type="dxa"/>
            <w:tcBorders>
              <w:top w:val="single" w:sz="12" w:space="0" w:color="A5A5A5"/>
              <w:left w:val="single" w:sz="12" w:space="0" w:color="A5A5A5"/>
              <w:bottom w:val="single" w:sz="12" w:space="0" w:color="A5A5A5"/>
              <w:right w:val="single" w:sz="12" w:space="0" w:color="A5A5A5"/>
            </w:tcBorders>
          </w:tcPr>
          <w:p w14:paraId="34740242" w14:textId="6846FB1E" w:rsidR="005758C5" w:rsidRDefault="005758C5">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8/4/25</w:t>
            </w:r>
          </w:p>
        </w:tc>
        <w:tc>
          <w:tcPr>
            <w:tcW w:w="2510" w:type="dxa"/>
            <w:tcBorders>
              <w:top w:val="single" w:sz="12" w:space="0" w:color="A5A5A5"/>
              <w:left w:val="single" w:sz="12" w:space="0" w:color="A5A5A5"/>
              <w:bottom w:val="single" w:sz="12" w:space="0" w:color="A5A5A5"/>
              <w:right w:val="single" w:sz="12" w:space="0" w:color="A5A5A5"/>
            </w:tcBorders>
          </w:tcPr>
          <w:p w14:paraId="618768E7" w14:textId="6C1DEC20" w:rsidR="005758C5" w:rsidRDefault="005758C5">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UM Committee</w:t>
            </w:r>
          </w:p>
        </w:tc>
        <w:tc>
          <w:tcPr>
            <w:tcW w:w="1880" w:type="dxa"/>
            <w:tcBorders>
              <w:top w:val="single" w:sz="12" w:space="0" w:color="A5A5A5"/>
              <w:left w:val="single" w:sz="12" w:space="0" w:color="A5A5A5"/>
              <w:bottom w:val="single" w:sz="12" w:space="0" w:color="A5A5A5"/>
              <w:right w:val="single" w:sz="12" w:space="0" w:color="A5A5A5"/>
            </w:tcBorders>
          </w:tcPr>
          <w:p w14:paraId="22D05856" w14:textId="644E6A24" w:rsidR="005758C5" w:rsidRDefault="005758C5">
            <w:pPr>
              <w:widowControl w:val="0"/>
              <w:autoSpaceDE w:val="0"/>
              <w:autoSpaceDN w:val="0"/>
              <w:rPr>
                <w:rFonts w:ascii="Futura" w:eastAsia="Calibri" w:hAnsi="Futura" w:cs="Calibri"/>
                <w:color w:val="000000"/>
                <w:sz w:val="20"/>
                <w:szCs w:val="20"/>
                <w:lang w:bidi="en-US"/>
              </w:rPr>
            </w:pPr>
            <w:r>
              <w:rPr>
                <w:rFonts w:ascii="Futura" w:eastAsia="Calibri" w:hAnsi="Futura" w:cs="Calibri"/>
                <w:color w:val="000000"/>
                <w:sz w:val="20"/>
                <w:szCs w:val="20"/>
                <w:lang w:bidi="en-US"/>
              </w:rPr>
              <w:t>Review</w:t>
            </w:r>
          </w:p>
        </w:tc>
        <w:tc>
          <w:tcPr>
            <w:tcW w:w="3409" w:type="dxa"/>
            <w:tcBorders>
              <w:top w:val="single" w:sz="12" w:space="0" w:color="A5A5A5"/>
              <w:left w:val="single" w:sz="12" w:space="0" w:color="A5A5A5"/>
              <w:bottom w:val="single" w:sz="12" w:space="0" w:color="A5A5A5"/>
              <w:right w:val="single" w:sz="12" w:space="0" w:color="A5A5A5"/>
            </w:tcBorders>
          </w:tcPr>
          <w:p w14:paraId="2DD99CBB" w14:textId="77777777" w:rsidR="005758C5" w:rsidRDefault="005758C5">
            <w:pPr>
              <w:widowControl w:val="0"/>
              <w:autoSpaceDE w:val="0"/>
              <w:autoSpaceDN w:val="0"/>
              <w:rPr>
                <w:rFonts w:ascii="Futura" w:eastAsia="Calibri" w:hAnsi="Futura" w:cs="Calibri"/>
                <w:color w:val="000000"/>
                <w:sz w:val="20"/>
                <w:szCs w:val="20"/>
                <w:lang w:bidi="en-US"/>
              </w:rPr>
            </w:pPr>
          </w:p>
        </w:tc>
      </w:tr>
    </w:tbl>
    <w:p w14:paraId="67C7852D" w14:textId="77777777" w:rsidR="00320403" w:rsidRDefault="00320403" w:rsidP="00320403">
      <w:pPr>
        <w:spacing w:after="0" w:line="240" w:lineRule="auto"/>
        <w:jc w:val="center"/>
        <w:rPr>
          <w:rFonts w:ascii="Futura" w:hAnsi="Futura"/>
          <w:color w:val="00AEDB"/>
          <w:sz w:val="24"/>
          <w:szCs w:val="24"/>
        </w:rPr>
      </w:pPr>
    </w:p>
    <w:p w14:paraId="6C4CF2DA" w14:textId="77777777" w:rsidR="00320403" w:rsidRDefault="00320403" w:rsidP="00320403">
      <w:pPr>
        <w:spacing w:after="0" w:line="240" w:lineRule="auto"/>
        <w:rPr>
          <w:rFonts w:ascii="Futura" w:hAnsi="Futura"/>
          <w:b/>
          <w:bCs/>
          <w:color w:val="00AEDB"/>
          <w:sz w:val="24"/>
          <w:szCs w:val="24"/>
        </w:rPr>
      </w:pPr>
      <w:r>
        <w:rPr>
          <w:rFonts w:ascii="Futura" w:hAnsi="Futura"/>
          <w:b/>
          <w:bCs/>
          <w:color w:val="00AEDB"/>
          <w:sz w:val="24"/>
          <w:szCs w:val="24"/>
        </w:rPr>
        <w:t>Policy:</w:t>
      </w:r>
    </w:p>
    <w:p w14:paraId="2ECE6697" w14:textId="164DFCC8" w:rsidR="00B60BDE" w:rsidRDefault="00B60BDE" w:rsidP="00554794">
      <w:pPr>
        <w:spacing w:after="0" w:line="240" w:lineRule="auto"/>
        <w:jc w:val="both"/>
        <w:rPr>
          <w:rFonts w:ascii="Futura" w:eastAsia="Calibri" w:hAnsi="Futura" w:cs="Calibri"/>
          <w:color w:val="000000"/>
          <w:sz w:val="20"/>
          <w:szCs w:val="20"/>
          <w:lang w:bidi="en-US"/>
        </w:rPr>
      </w:pPr>
    </w:p>
    <w:p w14:paraId="13E7F185" w14:textId="73C57DCE" w:rsidR="00581FB0" w:rsidRDefault="004F5EE3" w:rsidP="00554794">
      <w:pPr>
        <w:spacing w:after="0" w:line="240" w:lineRule="auto"/>
        <w:jc w:val="both"/>
        <w:rPr>
          <w:rFonts w:ascii="Futura" w:eastAsia="Calibri" w:hAnsi="Futura" w:cs="Calibri"/>
          <w:color w:val="000000"/>
          <w:sz w:val="20"/>
          <w:szCs w:val="20"/>
          <w:lang w:bidi="en-US"/>
        </w:rPr>
      </w:pPr>
      <w:r>
        <w:rPr>
          <w:rFonts w:ascii="Futura" w:eastAsia="Calibri" w:hAnsi="Futura" w:cs="Calibri"/>
          <w:color w:val="000000"/>
          <w:sz w:val="20"/>
          <w:szCs w:val="20"/>
          <w:lang w:bidi="en-US"/>
        </w:rPr>
        <w:t>This policy stands to show the criteria for and preferencing of</w:t>
      </w:r>
      <w:r w:rsidR="00827A7B">
        <w:rPr>
          <w:rFonts w:ascii="Futura" w:eastAsia="Calibri" w:hAnsi="Futura" w:cs="Calibri"/>
          <w:color w:val="000000"/>
          <w:sz w:val="20"/>
          <w:szCs w:val="20"/>
          <w:lang w:bidi="en-US"/>
        </w:rPr>
        <w:t xml:space="preserve"> agents within the therapeutic class of </w:t>
      </w:r>
      <w:r w:rsidR="00C62571">
        <w:rPr>
          <w:rFonts w:ascii="Futura" w:eastAsia="Calibri" w:hAnsi="Futura" w:cs="Calibri"/>
          <w:color w:val="000000"/>
          <w:sz w:val="20"/>
          <w:szCs w:val="20"/>
          <w:lang w:bidi="en-US"/>
        </w:rPr>
        <w:t>Colony Stimulating Factors</w:t>
      </w:r>
      <w:r w:rsidR="003A2608">
        <w:rPr>
          <w:rFonts w:ascii="Futura" w:eastAsia="Calibri" w:hAnsi="Futura" w:cs="Calibri"/>
          <w:color w:val="000000"/>
          <w:sz w:val="20"/>
          <w:szCs w:val="20"/>
          <w:lang w:bidi="en-US"/>
        </w:rPr>
        <w:t xml:space="preserve">, for </w:t>
      </w:r>
      <w:r w:rsidR="00594068">
        <w:rPr>
          <w:rFonts w:ascii="Futura" w:eastAsia="Calibri" w:hAnsi="Futura" w:cs="Calibri"/>
          <w:color w:val="000000"/>
          <w:sz w:val="20"/>
          <w:szCs w:val="20"/>
          <w:lang w:bidi="en-US"/>
        </w:rPr>
        <w:t xml:space="preserve">both </w:t>
      </w:r>
      <w:r w:rsidR="00A57B22">
        <w:rPr>
          <w:rFonts w:ascii="Futura" w:eastAsia="Calibri" w:hAnsi="Futura" w:cs="Calibri"/>
          <w:color w:val="000000"/>
          <w:sz w:val="20"/>
          <w:szCs w:val="20"/>
          <w:lang w:bidi="en-US"/>
        </w:rPr>
        <w:t>short and long acting agents</w:t>
      </w:r>
      <w:r w:rsidR="00827A7B">
        <w:rPr>
          <w:rFonts w:ascii="Futura" w:eastAsia="Calibri" w:hAnsi="Futura" w:cs="Calibri"/>
          <w:color w:val="000000"/>
          <w:sz w:val="20"/>
          <w:szCs w:val="20"/>
          <w:lang w:bidi="en-US"/>
        </w:rPr>
        <w:t xml:space="preserve">.  At the time of </w:t>
      </w:r>
      <w:r w:rsidR="00BB6512">
        <w:rPr>
          <w:rFonts w:ascii="Futura" w:eastAsia="Calibri" w:hAnsi="Futura" w:cs="Calibri"/>
          <w:color w:val="000000"/>
          <w:sz w:val="20"/>
          <w:szCs w:val="20"/>
          <w:lang w:bidi="en-US"/>
        </w:rPr>
        <w:t>the creation</w:t>
      </w:r>
      <w:r w:rsidR="00827A7B">
        <w:rPr>
          <w:rFonts w:ascii="Futura" w:eastAsia="Calibri" w:hAnsi="Futura" w:cs="Calibri"/>
          <w:color w:val="000000"/>
          <w:sz w:val="20"/>
          <w:szCs w:val="20"/>
          <w:lang w:bidi="en-US"/>
        </w:rPr>
        <w:t xml:space="preserve"> of this policy, there are </w:t>
      </w:r>
      <w:r w:rsidR="00BE6AD3">
        <w:rPr>
          <w:rFonts w:ascii="Futura" w:eastAsia="Calibri" w:hAnsi="Futura" w:cs="Calibri"/>
          <w:color w:val="000000"/>
          <w:sz w:val="20"/>
          <w:szCs w:val="20"/>
          <w:lang w:bidi="en-US"/>
        </w:rPr>
        <w:t>seventeen</w:t>
      </w:r>
      <w:r w:rsidR="004B7D63">
        <w:rPr>
          <w:rFonts w:ascii="Futura" w:eastAsia="Calibri" w:hAnsi="Futura" w:cs="Calibri"/>
          <w:color w:val="000000"/>
          <w:sz w:val="20"/>
          <w:szCs w:val="20"/>
          <w:lang w:bidi="en-US"/>
        </w:rPr>
        <w:t xml:space="preserve"> agents to be reviewed</w:t>
      </w:r>
      <w:r w:rsidR="009861C2">
        <w:rPr>
          <w:rFonts w:ascii="Futura" w:eastAsia="Calibri" w:hAnsi="Futura" w:cs="Calibri"/>
          <w:color w:val="000000"/>
          <w:sz w:val="20"/>
          <w:szCs w:val="20"/>
          <w:lang w:bidi="en-US"/>
        </w:rPr>
        <w:t xml:space="preserve">.  </w:t>
      </w:r>
      <w:r w:rsidR="004807F3">
        <w:rPr>
          <w:rFonts w:ascii="Futura" w:eastAsia="Calibri" w:hAnsi="Futura" w:cs="Calibri"/>
          <w:color w:val="000000"/>
          <w:sz w:val="20"/>
          <w:szCs w:val="20"/>
          <w:lang w:bidi="en-US"/>
        </w:rPr>
        <w:t xml:space="preserve">The </w:t>
      </w:r>
      <w:r w:rsidR="00C71E74">
        <w:rPr>
          <w:rFonts w:ascii="Futura" w:eastAsia="Calibri" w:hAnsi="Futura" w:cs="Calibri"/>
          <w:color w:val="000000"/>
          <w:sz w:val="20"/>
          <w:szCs w:val="20"/>
          <w:lang w:bidi="en-US"/>
        </w:rPr>
        <w:t xml:space="preserve">review includes review of product package inserts for </w:t>
      </w:r>
      <w:r w:rsidR="00222323">
        <w:rPr>
          <w:rFonts w:ascii="Futura" w:eastAsia="Calibri" w:hAnsi="Futura" w:cs="Calibri"/>
          <w:color w:val="000000"/>
          <w:sz w:val="20"/>
          <w:szCs w:val="20"/>
          <w:lang w:bidi="en-US"/>
        </w:rPr>
        <w:t xml:space="preserve">FDA approved </w:t>
      </w:r>
      <w:r w:rsidR="00C71E74">
        <w:rPr>
          <w:rFonts w:ascii="Futura" w:eastAsia="Calibri" w:hAnsi="Futura" w:cs="Calibri"/>
          <w:color w:val="000000"/>
          <w:sz w:val="20"/>
          <w:szCs w:val="20"/>
          <w:lang w:bidi="en-US"/>
        </w:rPr>
        <w:t xml:space="preserve">indications and limitations, ASP pricing files updated quarterly, </w:t>
      </w:r>
      <w:r w:rsidR="00BB3294">
        <w:rPr>
          <w:rFonts w:ascii="Futura" w:eastAsia="Calibri" w:hAnsi="Futura" w:cs="Calibri"/>
          <w:color w:val="000000"/>
          <w:sz w:val="20"/>
          <w:szCs w:val="20"/>
          <w:lang w:bidi="en-US"/>
        </w:rPr>
        <w:t>any external evidence available through CMS approved compendia, NCD/LCD information</w:t>
      </w:r>
      <w:r w:rsidR="0029343B">
        <w:rPr>
          <w:rFonts w:ascii="Futura" w:eastAsia="Calibri" w:hAnsi="Futura" w:cs="Calibri"/>
          <w:color w:val="000000"/>
          <w:sz w:val="20"/>
          <w:szCs w:val="20"/>
          <w:lang w:bidi="en-US"/>
        </w:rPr>
        <w:t>, and the approved system used for clinical direction of the Utilization Management team</w:t>
      </w:r>
      <w:r w:rsidR="00006F2B">
        <w:rPr>
          <w:rFonts w:ascii="Futura" w:eastAsia="Calibri" w:hAnsi="Futura" w:cs="Calibri"/>
          <w:color w:val="000000"/>
          <w:sz w:val="20"/>
          <w:szCs w:val="20"/>
          <w:lang w:bidi="en-US"/>
        </w:rPr>
        <w:t xml:space="preserve"> for agents on the eternalHealth Medicare Part B Prior Auth list</w:t>
      </w:r>
      <w:r w:rsidR="00BB3294">
        <w:rPr>
          <w:rFonts w:ascii="Futura" w:eastAsia="Calibri" w:hAnsi="Futura" w:cs="Calibri"/>
          <w:color w:val="000000"/>
          <w:sz w:val="20"/>
          <w:szCs w:val="20"/>
          <w:lang w:bidi="en-US"/>
        </w:rPr>
        <w:t>.  T</w:t>
      </w:r>
      <w:r w:rsidR="00A85AC1">
        <w:rPr>
          <w:rFonts w:ascii="Futura" w:eastAsia="Calibri" w:hAnsi="Futura" w:cs="Calibri"/>
          <w:color w:val="000000"/>
          <w:sz w:val="20"/>
          <w:szCs w:val="20"/>
          <w:lang w:bidi="en-US"/>
        </w:rPr>
        <w:t>his information combined with a wholistic review of the members’ clinical profile will allow the eternalHealth team to arrive at a decision of clinical appropriateness and is not a guarantee of payment.</w:t>
      </w:r>
      <w:r w:rsidR="00D36B7E">
        <w:rPr>
          <w:rFonts w:ascii="Futura" w:eastAsia="Calibri" w:hAnsi="Futura" w:cs="Calibri"/>
          <w:color w:val="000000"/>
          <w:sz w:val="20"/>
          <w:szCs w:val="20"/>
          <w:lang w:bidi="en-US"/>
        </w:rPr>
        <w:t xml:space="preserve">  This policy crosses benefits, and portions attributed to the part D benefit will be handled by the PBM (at this time OptumRx) while those under part B will be handled by our TPA, nirvanaHealth.  </w:t>
      </w:r>
    </w:p>
    <w:p w14:paraId="7962C7E4" w14:textId="77777777" w:rsidR="00581FB0" w:rsidRDefault="00581FB0" w:rsidP="00554794">
      <w:pPr>
        <w:spacing w:after="0" w:line="240" w:lineRule="auto"/>
        <w:jc w:val="both"/>
        <w:rPr>
          <w:rFonts w:ascii="Futura" w:eastAsia="Calibri" w:hAnsi="Futura" w:cs="Calibri"/>
          <w:color w:val="000000"/>
          <w:sz w:val="20"/>
          <w:szCs w:val="20"/>
          <w:lang w:bidi="en-US"/>
        </w:rPr>
      </w:pPr>
    </w:p>
    <w:p w14:paraId="784A79B3" w14:textId="77777777" w:rsidR="0045426C" w:rsidRDefault="0045426C" w:rsidP="00554794">
      <w:pPr>
        <w:spacing w:after="0" w:line="240" w:lineRule="auto"/>
        <w:jc w:val="both"/>
        <w:rPr>
          <w:rFonts w:ascii="Futura" w:eastAsia="Calibri" w:hAnsi="Futura" w:cs="Calibri"/>
          <w:color w:val="000000"/>
          <w:sz w:val="20"/>
          <w:szCs w:val="20"/>
          <w:lang w:bidi="en-US"/>
        </w:rPr>
      </w:pPr>
    </w:p>
    <w:p w14:paraId="1382B5A7" w14:textId="77777777" w:rsidR="0045426C" w:rsidRDefault="0045426C" w:rsidP="00554794">
      <w:pPr>
        <w:spacing w:after="0" w:line="240" w:lineRule="auto"/>
        <w:jc w:val="both"/>
        <w:rPr>
          <w:rFonts w:ascii="Futura" w:eastAsia="Calibri" w:hAnsi="Futura" w:cs="Calibri"/>
          <w:color w:val="000000"/>
          <w:sz w:val="20"/>
          <w:szCs w:val="20"/>
          <w:lang w:bidi="en-US"/>
        </w:rPr>
      </w:pPr>
    </w:p>
    <w:p w14:paraId="704D4D76" w14:textId="77777777" w:rsidR="0045426C" w:rsidRDefault="0045426C" w:rsidP="00554794">
      <w:pPr>
        <w:spacing w:after="0" w:line="240" w:lineRule="auto"/>
        <w:jc w:val="both"/>
        <w:rPr>
          <w:rFonts w:ascii="Futura" w:eastAsia="Calibri" w:hAnsi="Futura" w:cs="Calibri"/>
          <w:color w:val="000000"/>
          <w:sz w:val="20"/>
          <w:szCs w:val="20"/>
          <w:lang w:bidi="en-US"/>
        </w:rPr>
      </w:pPr>
    </w:p>
    <w:p w14:paraId="3204CB88" w14:textId="77777777" w:rsidR="0045426C" w:rsidRDefault="0045426C" w:rsidP="00554794">
      <w:pPr>
        <w:spacing w:after="0" w:line="240" w:lineRule="auto"/>
        <w:jc w:val="both"/>
        <w:rPr>
          <w:rFonts w:ascii="Futura" w:eastAsia="Calibri" w:hAnsi="Futura" w:cs="Calibri"/>
          <w:color w:val="000000"/>
          <w:sz w:val="20"/>
          <w:szCs w:val="20"/>
          <w:lang w:bidi="en-US"/>
        </w:rPr>
      </w:pPr>
    </w:p>
    <w:p w14:paraId="252EE6DE" w14:textId="77777777" w:rsidR="0045426C" w:rsidRDefault="0045426C" w:rsidP="00554794">
      <w:pPr>
        <w:spacing w:after="0" w:line="240" w:lineRule="auto"/>
        <w:jc w:val="both"/>
        <w:rPr>
          <w:rFonts w:ascii="Futura" w:eastAsia="Calibri" w:hAnsi="Futura" w:cs="Calibri"/>
          <w:color w:val="000000"/>
          <w:sz w:val="20"/>
          <w:szCs w:val="20"/>
          <w:lang w:bidi="en-US"/>
        </w:rPr>
      </w:pPr>
    </w:p>
    <w:p w14:paraId="3DAD57D3" w14:textId="77777777" w:rsidR="0045426C" w:rsidRDefault="0045426C" w:rsidP="00554794">
      <w:pPr>
        <w:spacing w:after="0" w:line="240" w:lineRule="auto"/>
        <w:jc w:val="both"/>
        <w:rPr>
          <w:rFonts w:ascii="Futura" w:eastAsia="Calibri" w:hAnsi="Futura" w:cs="Calibri"/>
          <w:color w:val="000000"/>
          <w:sz w:val="20"/>
          <w:szCs w:val="20"/>
          <w:lang w:bidi="en-US"/>
        </w:rPr>
      </w:pPr>
    </w:p>
    <w:p w14:paraId="64C48AED" w14:textId="77777777" w:rsidR="0045426C" w:rsidRDefault="0045426C" w:rsidP="00554794">
      <w:pPr>
        <w:spacing w:after="0" w:line="240" w:lineRule="auto"/>
        <w:jc w:val="both"/>
        <w:rPr>
          <w:rFonts w:ascii="Futura" w:eastAsia="Calibri" w:hAnsi="Futura" w:cs="Calibri"/>
          <w:color w:val="000000"/>
          <w:sz w:val="20"/>
          <w:szCs w:val="20"/>
          <w:lang w:bidi="en-US"/>
        </w:rPr>
      </w:pPr>
    </w:p>
    <w:p w14:paraId="5852A564" w14:textId="77777777" w:rsidR="0045426C" w:rsidRDefault="0045426C" w:rsidP="00554794">
      <w:pPr>
        <w:spacing w:after="0" w:line="240" w:lineRule="auto"/>
        <w:jc w:val="both"/>
        <w:rPr>
          <w:rFonts w:ascii="Futura" w:eastAsia="Calibri" w:hAnsi="Futura" w:cs="Calibri"/>
          <w:color w:val="000000"/>
          <w:sz w:val="20"/>
          <w:szCs w:val="20"/>
          <w:lang w:bidi="en-US"/>
        </w:rPr>
      </w:pPr>
    </w:p>
    <w:p w14:paraId="5501EDA6" w14:textId="77777777" w:rsidR="009518D7" w:rsidRDefault="009518D7" w:rsidP="009518D7">
      <w:pPr>
        <w:spacing w:after="0" w:line="240" w:lineRule="auto"/>
        <w:jc w:val="both"/>
        <w:rPr>
          <w:rFonts w:ascii="Futura" w:hAnsi="Futura"/>
          <w:b/>
          <w:bCs/>
          <w:color w:val="00AEDB"/>
          <w:sz w:val="24"/>
          <w:szCs w:val="24"/>
        </w:rPr>
      </w:pPr>
      <w:r>
        <w:rPr>
          <w:rFonts w:ascii="Futura" w:hAnsi="Futura"/>
          <w:b/>
          <w:bCs/>
          <w:color w:val="00AEDB"/>
          <w:sz w:val="24"/>
          <w:szCs w:val="24"/>
        </w:rPr>
        <w:t>Summary:</w:t>
      </w:r>
    </w:p>
    <w:p w14:paraId="570CF722" w14:textId="77777777" w:rsidR="00797C79" w:rsidRDefault="000009EB" w:rsidP="00797C79">
      <w:pPr>
        <w:pStyle w:val="ListParagraph"/>
        <w:numPr>
          <w:ilvl w:val="0"/>
          <w:numId w:val="168"/>
        </w:numPr>
        <w:spacing w:after="0" w:line="240" w:lineRule="auto"/>
        <w:jc w:val="both"/>
        <w:rPr>
          <w:rFonts w:ascii="Futura" w:hAnsi="Futura"/>
          <w:b/>
          <w:bCs/>
          <w:color w:val="00AEDB"/>
          <w:sz w:val="24"/>
          <w:szCs w:val="24"/>
        </w:rPr>
      </w:pPr>
      <w:r>
        <w:rPr>
          <w:rFonts w:ascii="Futura" w:hAnsi="Futura"/>
          <w:b/>
          <w:bCs/>
          <w:color w:val="00AEDB"/>
          <w:sz w:val="24"/>
          <w:szCs w:val="24"/>
        </w:rPr>
        <w:t xml:space="preserve">All agents will require a </w:t>
      </w:r>
      <w:r w:rsidR="00797C79">
        <w:rPr>
          <w:rFonts w:ascii="Futura" w:hAnsi="Futura"/>
          <w:b/>
          <w:bCs/>
          <w:color w:val="00AEDB"/>
          <w:sz w:val="24"/>
          <w:szCs w:val="24"/>
        </w:rPr>
        <w:t>prior authorization for medical necessity review</w:t>
      </w:r>
    </w:p>
    <w:p w14:paraId="5325A9D3" w14:textId="2BADE2CB" w:rsidR="00797C79" w:rsidRDefault="009518D7" w:rsidP="00797C79">
      <w:pPr>
        <w:pStyle w:val="ListParagraph"/>
        <w:numPr>
          <w:ilvl w:val="1"/>
          <w:numId w:val="168"/>
        </w:numPr>
        <w:spacing w:after="0" w:line="240" w:lineRule="auto"/>
        <w:jc w:val="both"/>
        <w:rPr>
          <w:rFonts w:ascii="Futura" w:hAnsi="Futura"/>
          <w:b/>
          <w:bCs/>
          <w:color w:val="00AEDB"/>
          <w:sz w:val="24"/>
          <w:szCs w:val="24"/>
        </w:rPr>
      </w:pPr>
      <w:r w:rsidRPr="00797C79">
        <w:rPr>
          <w:rFonts w:ascii="Futura" w:hAnsi="Futura"/>
          <w:b/>
          <w:bCs/>
          <w:color w:val="00AEDB"/>
          <w:sz w:val="24"/>
          <w:szCs w:val="24"/>
        </w:rPr>
        <w:t xml:space="preserve">For </w:t>
      </w:r>
      <w:r w:rsidR="005703D6" w:rsidRPr="00797C79">
        <w:rPr>
          <w:rFonts w:ascii="Futura" w:hAnsi="Futura"/>
          <w:b/>
          <w:bCs/>
          <w:color w:val="00AEDB"/>
          <w:sz w:val="24"/>
          <w:szCs w:val="24"/>
        </w:rPr>
        <w:t>Long-Acting agents</w:t>
      </w:r>
      <w:r w:rsidR="00A23CB1">
        <w:rPr>
          <w:rFonts w:ascii="Futura" w:hAnsi="Futura"/>
          <w:b/>
          <w:bCs/>
          <w:color w:val="00AEDB"/>
          <w:sz w:val="24"/>
          <w:szCs w:val="24"/>
        </w:rPr>
        <w:t xml:space="preserve"> this may include indications including stem cell transplant</w:t>
      </w:r>
      <w:r w:rsidR="008A3E3B">
        <w:rPr>
          <w:rFonts w:ascii="Futura" w:hAnsi="Futura"/>
          <w:b/>
          <w:bCs/>
          <w:color w:val="00AEDB"/>
          <w:sz w:val="24"/>
          <w:szCs w:val="24"/>
        </w:rPr>
        <w:t xml:space="preserve"> related infections, Hairy cell leukemia, </w:t>
      </w:r>
      <w:r w:rsidR="00C96919">
        <w:rPr>
          <w:rFonts w:ascii="Futura" w:hAnsi="Futura"/>
          <w:b/>
          <w:bCs/>
          <w:color w:val="00AEDB"/>
          <w:sz w:val="24"/>
          <w:szCs w:val="24"/>
        </w:rPr>
        <w:t xml:space="preserve">Subsyndromes of </w:t>
      </w:r>
      <w:r w:rsidR="008A3E3B">
        <w:rPr>
          <w:rFonts w:ascii="Futura" w:hAnsi="Futura"/>
          <w:b/>
          <w:bCs/>
          <w:color w:val="00AEDB"/>
          <w:sz w:val="24"/>
          <w:szCs w:val="24"/>
        </w:rPr>
        <w:t>Acute Radiation Syndrome,</w:t>
      </w:r>
      <w:r w:rsidR="00C96919">
        <w:rPr>
          <w:rFonts w:ascii="Futura" w:hAnsi="Futura"/>
          <w:b/>
          <w:bCs/>
          <w:color w:val="00AEDB"/>
          <w:sz w:val="24"/>
          <w:szCs w:val="24"/>
        </w:rPr>
        <w:t xml:space="preserve"> and certain neutropenias</w:t>
      </w:r>
      <w:r w:rsidRPr="00797C79">
        <w:rPr>
          <w:rFonts w:ascii="Futura" w:hAnsi="Futura"/>
          <w:b/>
          <w:bCs/>
          <w:color w:val="00AEDB"/>
          <w:sz w:val="24"/>
          <w:szCs w:val="24"/>
        </w:rPr>
        <w:t>:</w:t>
      </w:r>
    </w:p>
    <w:p w14:paraId="3A0E9942" w14:textId="49AB92D4" w:rsidR="009518D7" w:rsidRDefault="001640C7" w:rsidP="001640C7">
      <w:pPr>
        <w:pStyle w:val="ListParagraph"/>
        <w:numPr>
          <w:ilvl w:val="2"/>
          <w:numId w:val="167"/>
        </w:numPr>
        <w:spacing w:after="0" w:line="240" w:lineRule="auto"/>
        <w:jc w:val="both"/>
        <w:rPr>
          <w:rFonts w:ascii="Futura" w:hAnsi="Futura"/>
          <w:b/>
          <w:bCs/>
          <w:color w:val="00AEDB"/>
          <w:sz w:val="24"/>
          <w:szCs w:val="24"/>
        </w:rPr>
      </w:pPr>
      <w:r>
        <w:rPr>
          <w:rFonts w:ascii="Futura" w:hAnsi="Futura"/>
          <w:b/>
          <w:bCs/>
          <w:color w:val="00AEDB"/>
          <w:sz w:val="24"/>
          <w:szCs w:val="24"/>
        </w:rPr>
        <w:t>If Fulphila, Neulasta or Neulasta OnPro</w:t>
      </w:r>
      <w:r w:rsidR="009518D7" w:rsidRPr="00857328">
        <w:rPr>
          <w:rFonts w:ascii="Futura" w:hAnsi="Futura"/>
          <w:b/>
          <w:bCs/>
          <w:color w:val="00AEDB"/>
          <w:sz w:val="24"/>
          <w:szCs w:val="24"/>
        </w:rPr>
        <w:t xml:space="preserve"> is requested, it requires prior authorization for medical necessity review </w:t>
      </w:r>
      <w:r>
        <w:rPr>
          <w:rFonts w:ascii="Futura" w:hAnsi="Futura"/>
          <w:b/>
          <w:bCs/>
          <w:color w:val="00AEDB"/>
          <w:sz w:val="24"/>
          <w:szCs w:val="24"/>
        </w:rPr>
        <w:t>and may be approved</w:t>
      </w:r>
    </w:p>
    <w:p w14:paraId="5D1A5B0E" w14:textId="7FBB72B9" w:rsidR="009518D7" w:rsidRDefault="009518D7" w:rsidP="00573DC5">
      <w:pPr>
        <w:pStyle w:val="ListParagraph"/>
        <w:numPr>
          <w:ilvl w:val="2"/>
          <w:numId w:val="167"/>
        </w:numPr>
        <w:spacing w:after="0" w:line="240" w:lineRule="auto"/>
        <w:jc w:val="both"/>
        <w:rPr>
          <w:rFonts w:ascii="Futura" w:hAnsi="Futura"/>
          <w:b/>
          <w:bCs/>
          <w:color w:val="00AEDB"/>
          <w:sz w:val="24"/>
          <w:szCs w:val="24"/>
        </w:rPr>
      </w:pPr>
      <w:r>
        <w:rPr>
          <w:rFonts w:ascii="Futura" w:hAnsi="Futura"/>
          <w:b/>
          <w:bCs/>
          <w:color w:val="00AEDB"/>
          <w:sz w:val="24"/>
          <w:szCs w:val="24"/>
        </w:rPr>
        <w:t xml:space="preserve">If </w:t>
      </w:r>
      <w:r w:rsidR="00573DC5">
        <w:rPr>
          <w:rFonts w:ascii="Futura" w:hAnsi="Futura"/>
          <w:b/>
          <w:bCs/>
          <w:color w:val="00AEDB"/>
          <w:sz w:val="24"/>
          <w:szCs w:val="24"/>
        </w:rPr>
        <w:t>Fylnetra,</w:t>
      </w:r>
      <w:r w:rsidR="00752857">
        <w:rPr>
          <w:rFonts w:ascii="Futura" w:hAnsi="Futura"/>
          <w:b/>
          <w:bCs/>
          <w:color w:val="00AEDB"/>
          <w:sz w:val="24"/>
          <w:szCs w:val="24"/>
        </w:rPr>
        <w:t xml:space="preserve"> Nyvepria, Rolvedon, Stimufend, Udenyca, Ziextenzo, or Ryzneuta</w:t>
      </w:r>
      <w:r>
        <w:rPr>
          <w:rFonts w:ascii="Futura" w:hAnsi="Futura"/>
          <w:b/>
          <w:bCs/>
          <w:color w:val="00AEDB"/>
          <w:sz w:val="24"/>
          <w:szCs w:val="24"/>
        </w:rPr>
        <w:t xml:space="preserve"> is requested it requires prior authorization for medical necessity review as well as </w:t>
      </w:r>
      <w:r w:rsidR="004A43EC">
        <w:rPr>
          <w:rFonts w:ascii="Futura" w:hAnsi="Futura"/>
          <w:b/>
          <w:bCs/>
          <w:color w:val="00AEDB"/>
          <w:sz w:val="24"/>
          <w:szCs w:val="24"/>
        </w:rPr>
        <w:t>documentation of use of and lack of</w:t>
      </w:r>
      <w:r>
        <w:rPr>
          <w:rFonts w:ascii="Futura" w:hAnsi="Futura"/>
          <w:b/>
          <w:bCs/>
          <w:color w:val="00AEDB"/>
          <w:sz w:val="24"/>
          <w:szCs w:val="24"/>
        </w:rPr>
        <w:t xml:space="preserve"> clinical response </w:t>
      </w:r>
      <w:r w:rsidR="004A43EC">
        <w:rPr>
          <w:rFonts w:ascii="Futura" w:hAnsi="Futura"/>
          <w:b/>
          <w:bCs/>
          <w:color w:val="00AEDB"/>
          <w:sz w:val="24"/>
          <w:szCs w:val="24"/>
        </w:rPr>
        <w:t>to Fulphila, Neulasta, or Neulasta OnPro</w:t>
      </w:r>
      <w:r w:rsidR="00D17A44">
        <w:rPr>
          <w:rFonts w:ascii="Futura" w:hAnsi="Futura"/>
          <w:b/>
          <w:bCs/>
          <w:color w:val="00AEDB"/>
          <w:sz w:val="24"/>
          <w:szCs w:val="24"/>
        </w:rPr>
        <w:t xml:space="preserve"> and may be approved</w:t>
      </w:r>
    </w:p>
    <w:p w14:paraId="4C1EBCA5" w14:textId="22D2AC8D" w:rsidR="00D17A44" w:rsidRDefault="00D17A44" w:rsidP="00D17A44">
      <w:pPr>
        <w:pStyle w:val="ListParagraph"/>
        <w:numPr>
          <w:ilvl w:val="1"/>
          <w:numId w:val="168"/>
        </w:numPr>
        <w:spacing w:after="0" w:line="240" w:lineRule="auto"/>
        <w:jc w:val="both"/>
        <w:rPr>
          <w:rFonts w:ascii="Futura" w:hAnsi="Futura"/>
          <w:b/>
          <w:bCs/>
          <w:color w:val="00AEDB"/>
          <w:sz w:val="24"/>
          <w:szCs w:val="24"/>
        </w:rPr>
      </w:pPr>
      <w:r w:rsidRPr="00797C79">
        <w:rPr>
          <w:rFonts w:ascii="Futura" w:hAnsi="Futura"/>
          <w:b/>
          <w:bCs/>
          <w:color w:val="00AEDB"/>
          <w:sz w:val="24"/>
          <w:szCs w:val="24"/>
        </w:rPr>
        <w:t xml:space="preserve">For </w:t>
      </w:r>
      <w:r>
        <w:rPr>
          <w:rFonts w:ascii="Futura" w:hAnsi="Futura"/>
          <w:b/>
          <w:bCs/>
          <w:color w:val="00AEDB"/>
          <w:sz w:val="24"/>
          <w:szCs w:val="24"/>
        </w:rPr>
        <w:t>Short</w:t>
      </w:r>
      <w:r w:rsidRPr="00797C79">
        <w:rPr>
          <w:rFonts w:ascii="Futura" w:hAnsi="Futura"/>
          <w:b/>
          <w:bCs/>
          <w:color w:val="00AEDB"/>
          <w:sz w:val="24"/>
          <w:szCs w:val="24"/>
        </w:rPr>
        <w:t>-Acting agents</w:t>
      </w:r>
      <w:r>
        <w:rPr>
          <w:rFonts w:ascii="Futura" w:hAnsi="Futura"/>
          <w:b/>
          <w:bCs/>
          <w:color w:val="00AEDB"/>
          <w:sz w:val="24"/>
          <w:szCs w:val="24"/>
        </w:rPr>
        <w:t xml:space="preserve"> this may include indications including infection reduction, </w:t>
      </w:r>
      <w:r w:rsidR="00A45B1C">
        <w:rPr>
          <w:rFonts w:ascii="Futura" w:hAnsi="Futura"/>
          <w:b/>
          <w:bCs/>
          <w:color w:val="00AEDB"/>
          <w:sz w:val="24"/>
          <w:szCs w:val="24"/>
        </w:rPr>
        <w:t xml:space="preserve">reduction of fever in AML, </w:t>
      </w:r>
      <w:r w:rsidR="008F0814">
        <w:rPr>
          <w:rFonts w:ascii="Futura" w:hAnsi="Futura"/>
          <w:b/>
          <w:bCs/>
          <w:color w:val="00AEDB"/>
          <w:sz w:val="24"/>
          <w:szCs w:val="24"/>
        </w:rPr>
        <w:t>mobilization of progenitor cells</w:t>
      </w:r>
      <w:r w:rsidR="00D73FF3">
        <w:rPr>
          <w:rFonts w:ascii="Futura" w:hAnsi="Futura"/>
          <w:b/>
          <w:bCs/>
          <w:color w:val="00AEDB"/>
          <w:sz w:val="24"/>
          <w:szCs w:val="24"/>
        </w:rPr>
        <w:t>, and reduction</w:t>
      </w:r>
      <w:r w:rsidR="008F0814">
        <w:rPr>
          <w:rFonts w:ascii="Futura" w:hAnsi="Futura"/>
          <w:b/>
          <w:bCs/>
          <w:color w:val="00AEDB"/>
          <w:sz w:val="24"/>
          <w:szCs w:val="24"/>
        </w:rPr>
        <w:t xml:space="preserve"> </w:t>
      </w:r>
      <w:r w:rsidR="00D73FF3">
        <w:rPr>
          <w:rFonts w:ascii="Futura" w:hAnsi="Futura"/>
          <w:b/>
          <w:bCs/>
          <w:color w:val="00AEDB"/>
          <w:sz w:val="24"/>
          <w:szCs w:val="24"/>
        </w:rPr>
        <w:t>of issues tied to neutropenia in various instances</w:t>
      </w:r>
      <w:r w:rsidRPr="00797C79">
        <w:rPr>
          <w:rFonts w:ascii="Futura" w:hAnsi="Futura"/>
          <w:b/>
          <w:bCs/>
          <w:color w:val="00AEDB"/>
          <w:sz w:val="24"/>
          <w:szCs w:val="24"/>
        </w:rPr>
        <w:t>:</w:t>
      </w:r>
    </w:p>
    <w:p w14:paraId="5237D211" w14:textId="011F018D" w:rsidR="00D17A44" w:rsidRDefault="00D17A44" w:rsidP="00D17A44">
      <w:pPr>
        <w:pStyle w:val="ListParagraph"/>
        <w:numPr>
          <w:ilvl w:val="2"/>
          <w:numId w:val="167"/>
        </w:numPr>
        <w:spacing w:after="0" w:line="240" w:lineRule="auto"/>
        <w:jc w:val="both"/>
        <w:rPr>
          <w:rFonts w:ascii="Futura" w:hAnsi="Futura"/>
          <w:b/>
          <w:bCs/>
          <w:color w:val="00AEDB"/>
          <w:sz w:val="24"/>
          <w:szCs w:val="24"/>
        </w:rPr>
      </w:pPr>
      <w:r>
        <w:rPr>
          <w:rFonts w:ascii="Futura" w:hAnsi="Futura"/>
          <w:b/>
          <w:bCs/>
          <w:color w:val="00AEDB"/>
          <w:sz w:val="24"/>
          <w:szCs w:val="24"/>
        </w:rPr>
        <w:t xml:space="preserve">If </w:t>
      </w:r>
      <w:r w:rsidR="00D73FF3">
        <w:rPr>
          <w:rFonts w:ascii="Futura" w:hAnsi="Futura"/>
          <w:b/>
          <w:bCs/>
          <w:color w:val="00AEDB"/>
          <w:sz w:val="24"/>
          <w:szCs w:val="24"/>
        </w:rPr>
        <w:t>Zarxio</w:t>
      </w:r>
      <w:r w:rsidRPr="00857328">
        <w:rPr>
          <w:rFonts w:ascii="Futura" w:hAnsi="Futura"/>
          <w:b/>
          <w:bCs/>
          <w:color w:val="00AEDB"/>
          <w:sz w:val="24"/>
          <w:szCs w:val="24"/>
        </w:rPr>
        <w:t xml:space="preserve"> is requested, it requires prior authorization for medical necessity review </w:t>
      </w:r>
      <w:r>
        <w:rPr>
          <w:rFonts w:ascii="Futura" w:hAnsi="Futura"/>
          <w:b/>
          <w:bCs/>
          <w:color w:val="00AEDB"/>
          <w:sz w:val="24"/>
          <w:szCs w:val="24"/>
        </w:rPr>
        <w:t>and may be approved</w:t>
      </w:r>
    </w:p>
    <w:p w14:paraId="4282C4FF" w14:textId="32869B98" w:rsidR="00D17A44" w:rsidRDefault="00D17A44" w:rsidP="00D17A44">
      <w:pPr>
        <w:pStyle w:val="ListParagraph"/>
        <w:numPr>
          <w:ilvl w:val="2"/>
          <w:numId w:val="167"/>
        </w:numPr>
        <w:spacing w:after="0" w:line="240" w:lineRule="auto"/>
        <w:jc w:val="both"/>
        <w:rPr>
          <w:rFonts w:ascii="Futura" w:hAnsi="Futura"/>
          <w:b/>
          <w:bCs/>
          <w:color w:val="00AEDB"/>
          <w:sz w:val="24"/>
          <w:szCs w:val="24"/>
        </w:rPr>
      </w:pPr>
      <w:r>
        <w:rPr>
          <w:rFonts w:ascii="Futura" w:hAnsi="Futura"/>
          <w:b/>
          <w:bCs/>
          <w:color w:val="00AEDB"/>
          <w:sz w:val="24"/>
          <w:szCs w:val="24"/>
        </w:rPr>
        <w:t>If</w:t>
      </w:r>
      <w:r w:rsidR="00F33FAC">
        <w:rPr>
          <w:rFonts w:ascii="Futura" w:hAnsi="Futura"/>
          <w:b/>
          <w:bCs/>
          <w:color w:val="00AEDB"/>
          <w:sz w:val="24"/>
          <w:szCs w:val="24"/>
        </w:rPr>
        <w:t xml:space="preserve"> Granix, Leukine, Neupogen, </w:t>
      </w:r>
      <w:r w:rsidR="00147410">
        <w:rPr>
          <w:rFonts w:ascii="Futura" w:hAnsi="Futura"/>
          <w:b/>
          <w:bCs/>
          <w:color w:val="00AEDB"/>
          <w:sz w:val="24"/>
          <w:szCs w:val="24"/>
        </w:rPr>
        <w:t>Nivestym, Releuko</w:t>
      </w:r>
      <w:r>
        <w:rPr>
          <w:rFonts w:ascii="Futura" w:hAnsi="Futura"/>
          <w:b/>
          <w:bCs/>
          <w:color w:val="00AEDB"/>
          <w:sz w:val="24"/>
          <w:szCs w:val="24"/>
        </w:rPr>
        <w:t xml:space="preserve">, or </w:t>
      </w:r>
      <w:r w:rsidR="00147410">
        <w:rPr>
          <w:rFonts w:ascii="Futura" w:hAnsi="Futura"/>
          <w:b/>
          <w:bCs/>
          <w:color w:val="00AEDB"/>
          <w:sz w:val="24"/>
          <w:szCs w:val="24"/>
        </w:rPr>
        <w:t>Nypozi</w:t>
      </w:r>
      <w:r>
        <w:rPr>
          <w:rFonts w:ascii="Futura" w:hAnsi="Futura"/>
          <w:b/>
          <w:bCs/>
          <w:color w:val="00AEDB"/>
          <w:sz w:val="24"/>
          <w:szCs w:val="24"/>
        </w:rPr>
        <w:t xml:space="preserve"> is requested it requires prior authorization for medical necessity review as well as documentation of use of and lack of clinical response to </w:t>
      </w:r>
      <w:r w:rsidR="00F33FAC">
        <w:rPr>
          <w:rFonts w:ascii="Futura" w:hAnsi="Futura"/>
          <w:b/>
          <w:bCs/>
          <w:color w:val="00AEDB"/>
          <w:sz w:val="24"/>
          <w:szCs w:val="24"/>
        </w:rPr>
        <w:t>Zarxio</w:t>
      </w:r>
      <w:r>
        <w:rPr>
          <w:rFonts w:ascii="Futura" w:hAnsi="Futura"/>
          <w:b/>
          <w:bCs/>
          <w:color w:val="00AEDB"/>
          <w:sz w:val="24"/>
          <w:szCs w:val="24"/>
        </w:rPr>
        <w:t xml:space="preserve"> and may be approved</w:t>
      </w:r>
    </w:p>
    <w:p w14:paraId="1FD45FF2" w14:textId="77777777" w:rsidR="009518D7" w:rsidRDefault="009518D7" w:rsidP="009518D7">
      <w:pPr>
        <w:pStyle w:val="ListParagraph"/>
        <w:numPr>
          <w:ilvl w:val="0"/>
          <w:numId w:val="167"/>
        </w:numPr>
        <w:spacing w:after="0" w:line="240" w:lineRule="auto"/>
        <w:jc w:val="both"/>
        <w:rPr>
          <w:rFonts w:ascii="Futura" w:hAnsi="Futura"/>
          <w:b/>
          <w:bCs/>
          <w:color w:val="00AEDB"/>
          <w:sz w:val="24"/>
          <w:szCs w:val="24"/>
        </w:rPr>
      </w:pPr>
      <w:r>
        <w:rPr>
          <w:rFonts w:ascii="Futura" w:hAnsi="Futura"/>
          <w:b/>
          <w:bCs/>
          <w:color w:val="00AEDB"/>
          <w:sz w:val="24"/>
          <w:szCs w:val="24"/>
        </w:rPr>
        <w:t>An exception to step therapy will be considered if:</w:t>
      </w:r>
    </w:p>
    <w:p w14:paraId="317197FD" w14:textId="77777777" w:rsidR="009518D7" w:rsidRPr="00732065" w:rsidRDefault="009518D7" w:rsidP="009518D7">
      <w:pPr>
        <w:pStyle w:val="ListParagraph"/>
        <w:numPr>
          <w:ilvl w:val="1"/>
          <w:numId w:val="167"/>
        </w:numPr>
        <w:spacing w:after="0" w:line="240" w:lineRule="auto"/>
        <w:jc w:val="both"/>
        <w:rPr>
          <w:rFonts w:ascii="Futura" w:hAnsi="Futura"/>
          <w:b/>
          <w:bCs/>
          <w:color w:val="00AEDB"/>
          <w:sz w:val="24"/>
          <w:szCs w:val="24"/>
        </w:rPr>
      </w:pPr>
      <w:r>
        <w:rPr>
          <w:rFonts w:ascii="Futura" w:hAnsi="Futura"/>
          <w:b/>
          <w:bCs/>
          <w:color w:val="00AEDB"/>
          <w:sz w:val="24"/>
          <w:szCs w:val="24"/>
        </w:rPr>
        <w:t xml:space="preserve">There is specific </w:t>
      </w:r>
      <w:r w:rsidRPr="00732065">
        <w:rPr>
          <w:rFonts w:ascii="Futura" w:hAnsi="Futura"/>
          <w:b/>
          <w:bCs/>
          <w:color w:val="00AEDB"/>
          <w:sz w:val="24"/>
          <w:szCs w:val="24"/>
        </w:rPr>
        <w:t xml:space="preserve">documentation of inadequate response, contraindication, adverse event or otherwise </w:t>
      </w:r>
      <w:r>
        <w:rPr>
          <w:rFonts w:ascii="Futura" w:hAnsi="Futura"/>
          <w:b/>
          <w:bCs/>
          <w:color w:val="00AEDB"/>
          <w:sz w:val="24"/>
          <w:szCs w:val="24"/>
        </w:rPr>
        <w:t>d</w:t>
      </w:r>
      <w:r w:rsidRPr="00732065">
        <w:rPr>
          <w:rFonts w:ascii="Futura" w:hAnsi="Futura"/>
          <w:b/>
          <w:bCs/>
          <w:color w:val="00AEDB"/>
          <w:sz w:val="24"/>
          <w:szCs w:val="24"/>
        </w:rPr>
        <w:t>emonstrated for a preferred agent if requesting a secondary agent, and for preferred and secondary agents if requesting a tertiary agent.</w:t>
      </w:r>
    </w:p>
    <w:p w14:paraId="6DE08CEA" w14:textId="79C23790" w:rsidR="009518D7" w:rsidRPr="00732065" w:rsidRDefault="009518D7" w:rsidP="009518D7">
      <w:pPr>
        <w:pStyle w:val="ListParagraph"/>
        <w:numPr>
          <w:ilvl w:val="1"/>
          <w:numId w:val="167"/>
        </w:numPr>
        <w:spacing w:after="0" w:line="240" w:lineRule="auto"/>
        <w:jc w:val="both"/>
        <w:rPr>
          <w:rFonts w:ascii="Futura" w:hAnsi="Futura"/>
          <w:b/>
          <w:bCs/>
          <w:color w:val="00AEDB"/>
          <w:sz w:val="24"/>
          <w:szCs w:val="24"/>
        </w:rPr>
      </w:pPr>
      <w:r>
        <w:rPr>
          <w:rFonts w:ascii="Futura" w:hAnsi="Futura"/>
          <w:b/>
          <w:bCs/>
          <w:color w:val="00AEDB"/>
          <w:sz w:val="24"/>
          <w:szCs w:val="24"/>
        </w:rPr>
        <w:t>Request contains</w:t>
      </w:r>
      <w:r w:rsidRPr="00732065">
        <w:rPr>
          <w:rFonts w:ascii="Futura" w:hAnsi="Futura"/>
          <w:b/>
          <w:bCs/>
          <w:color w:val="00AEDB"/>
          <w:sz w:val="24"/>
          <w:szCs w:val="24"/>
        </w:rPr>
        <w:t xml:space="preserve"> documentation of a continuation of therapy within the past </w:t>
      </w:r>
      <w:r w:rsidR="00976A51">
        <w:rPr>
          <w:rFonts w:ascii="Futura" w:hAnsi="Futura"/>
          <w:b/>
          <w:bCs/>
          <w:color w:val="00AEDB"/>
          <w:sz w:val="24"/>
          <w:szCs w:val="24"/>
        </w:rPr>
        <w:t>365</w:t>
      </w:r>
      <w:r w:rsidRPr="00732065">
        <w:rPr>
          <w:rFonts w:ascii="Futura" w:hAnsi="Futura"/>
          <w:b/>
          <w:bCs/>
          <w:color w:val="00AEDB"/>
          <w:sz w:val="24"/>
          <w:szCs w:val="24"/>
        </w:rPr>
        <w:t xml:space="preserve"> days (if new) or if it is a reauthorization request.</w:t>
      </w:r>
    </w:p>
    <w:p w14:paraId="5A8ADC33" w14:textId="77777777" w:rsidR="009518D7" w:rsidRPr="00732065" w:rsidRDefault="009518D7" w:rsidP="009518D7">
      <w:pPr>
        <w:pStyle w:val="ListParagraph"/>
        <w:numPr>
          <w:ilvl w:val="0"/>
          <w:numId w:val="167"/>
        </w:numPr>
        <w:spacing w:after="0" w:line="240" w:lineRule="auto"/>
        <w:jc w:val="both"/>
        <w:rPr>
          <w:rFonts w:ascii="Futura" w:hAnsi="Futura"/>
          <w:b/>
          <w:bCs/>
          <w:color w:val="00AEDB"/>
          <w:sz w:val="24"/>
          <w:szCs w:val="24"/>
        </w:rPr>
      </w:pPr>
      <w:r w:rsidRPr="00732065">
        <w:rPr>
          <w:rFonts w:ascii="Futura" w:hAnsi="Futura"/>
          <w:b/>
          <w:bCs/>
          <w:color w:val="00AEDB"/>
          <w:sz w:val="24"/>
          <w:szCs w:val="24"/>
        </w:rPr>
        <w:t>In either of the above situations, the product being used cannot be based on the use of samples or products provided through manufacturer patient assistance programs.</w:t>
      </w:r>
    </w:p>
    <w:p w14:paraId="572CE9BB" w14:textId="77777777" w:rsidR="00437253" w:rsidRDefault="00437253" w:rsidP="00554794">
      <w:pPr>
        <w:spacing w:after="0" w:line="240" w:lineRule="auto"/>
        <w:jc w:val="both"/>
        <w:rPr>
          <w:rFonts w:ascii="Futura" w:hAnsi="Futura"/>
          <w:b/>
          <w:bCs/>
          <w:color w:val="00AEDB"/>
          <w:sz w:val="24"/>
          <w:szCs w:val="24"/>
        </w:rPr>
      </w:pPr>
    </w:p>
    <w:p w14:paraId="4D085817" w14:textId="2AFA160E" w:rsidR="00E42974" w:rsidRPr="0018204C" w:rsidRDefault="00E42974" w:rsidP="00554794">
      <w:pPr>
        <w:spacing w:after="0" w:line="240" w:lineRule="auto"/>
        <w:jc w:val="both"/>
        <w:rPr>
          <w:rFonts w:ascii="Futura" w:hAnsi="Futura"/>
          <w:b/>
          <w:bCs/>
          <w:color w:val="00AEDB"/>
          <w:sz w:val="24"/>
          <w:szCs w:val="24"/>
        </w:rPr>
      </w:pPr>
      <w:r w:rsidRPr="0018204C">
        <w:rPr>
          <w:rFonts w:ascii="Futura" w:hAnsi="Futura"/>
          <w:b/>
          <w:bCs/>
          <w:color w:val="00AEDB"/>
          <w:sz w:val="24"/>
          <w:szCs w:val="24"/>
        </w:rPr>
        <w:t>Exclusions:</w:t>
      </w:r>
    </w:p>
    <w:p w14:paraId="121B4A0C" w14:textId="30BA3CFC" w:rsidR="0018204C" w:rsidRDefault="004B7D0A" w:rsidP="00F41B3A">
      <w:pPr>
        <w:numPr>
          <w:ilvl w:val="0"/>
          <w:numId w:val="2"/>
        </w:numPr>
        <w:spacing w:after="0" w:line="240" w:lineRule="auto"/>
        <w:jc w:val="both"/>
        <w:rPr>
          <w:rFonts w:ascii="Futura" w:eastAsia="Calibri" w:hAnsi="Futura" w:cs="Calibri"/>
          <w:color w:val="000000"/>
          <w:sz w:val="20"/>
          <w:szCs w:val="20"/>
          <w:lang w:bidi="en-US"/>
        </w:rPr>
      </w:pPr>
      <w:r>
        <w:rPr>
          <w:rFonts w:ascii="Futura" w:eastAsia="Calibri" w:hAnsi="Futura" w:cs="Calibri"/>
          <w:color w:val="000000"/>
          <w:sz w:val="20"/>
          <w:szCs w:val="20"/>
          <w:lang w:bidi="en-US"/>
        </w:rPr>
        <w:t>Requests for indications not FDA approved or supported by documentation of compendial acceptance provided by the requesting provider</w:t>
      </w:r>
    </w:p>
    <w:p w14:paraId="42E5438B" w14:textId="77777777" w:rsidR="003E698F" w:rsidRDefault="003E698F" w:rsidP="00320403">
      <w:pPr>
        <w:spacing w:after="0" w:line="240" w:lineRule="auto"/>
        <w:rPr>
          <w:rFonts w:ascii="Futura" w:hAnsi="Futura"/>
          <w:b/>
          <w:bCs/>
          <w:color w:val="00AEDB"/>
          <w:sz w:val="24"/>
          <w:szCs w:val="24"/>
        </w:rPr>
      </w:pPr>
    </w:p>
    <w:p w14:paraId="15BDFBEC" w14:textId="7405F2A7" w:rsidR="00255C58" w:rsidRDefault="00BB6512" w:rsidP="00320403">
      <w:pPr>
        <w:spacing w:after="0" w:line="240" w:lineRule="auto"/>
        <w:rPr>
          <w:rFonts w:ascii="Futura" w:hAnsi="Futura"/>
          <w:b/>
          <w:bCs/>
          <w:color w:val="00AEDB"/>
          <w:sz w:val="24"/>
          <w:szCs w:val="24"/>
        </w:rPr>
      </w:pPr>
      <w:r>
        <w:rPr>
          <w:rFonts w:ascii="Futura" w:hAnsi="Futura"/>
          <w:b/>
          <w:bCs/>
          <w:color w:val="00AEDB"/>
          <w:sz w:val="24"/>
          <w:szCs w:val="24"/>
        </w:rPr>
        <w:t>Long-Acting</w:t>
      </w:r>
      <w:r w:rsidR="00DC6C71">
        <w:rPr>
          <w:rFonts w:ascii="Futura" w:hAnsi="Futura"/>
          <w:b/>
          <w:bCs/>
          <w:color w:val="00AEDB"/>
          <w:sz w:val="24"/>
          <w:szCs w:val="24"/>
        </w:rPr>
        <w:t xml:space="preserve"> Agent</w:t>
      </w:r>
      <w:r w:rsidR="006629D0">
        <w:rPr>
          <w:rFonts w:ascii="Futura" w:hAnsi="Futura"/>
          <w:b/>
          <w:bCs/>
          <w:color w:val="00AEDB"/>
          <w:sz w:val="24"/>
          <w:szCs w:val="24"/>
        </w:rPr>
        <w:t xml:space="preserve"> </w:t>
      </w:r>
      <w:r w:rsidR="00255C58">
        <w:rPr>
          <w:rFonts w:ascii="Futura" w:hAnsi="Futura"/>
          <w:b/>
          <w:bCs/>
          <w:color w:val="00AEDB"/>
          <w:sz w:val="24"/>
          <w:szCs w:val="24"/>
        </w:rPr>
        <w:t>Preferencing:</w:t>
      </w:r>
    </w:p>
    <w:p w14:paraId="366D9618" w14:textId="7FA61AE4" w:rsidR="00255C58" w:rsidRPr="00CD2097" w:rsidRDefault="00255C58" w:rsidP="00320403">
      <w:pPr>
        <w:spacing w:after="0" w:line="240" w:lineRule="auto"/>
        <w:rPr>
          <w:rFonts w:ascii="Futura" w:hAnsi="Futura"/>
          <w:sz w:val="24"/>
          <w:szCs w:val="24"/>
        </w:rPr>
      </w:pPr>
      <w:r w:rsidRPr="00CD2097">
        <w:rPr>
          <w:rFonts w:ascii="Futura" w:hAnsi="Futura"/>
          <w:b/>
          <w:bCs/>
          <w:sz w:val="24"/>
          <w:szCs w:val="24"/>
        </w:rPr>
        <w:t>Preferred Agents:</w:t>
      </w:r>
      <w:r w:rsidR="00CD2097">
        <w:rPr>
          <w:rFonts w:ascii="Futura" w:hAnsi="Futura"/>
          <w:b/>
          <w:bCs/>
          <w:sz w:val="24"/>
          <w:szCs w:val="24"/>
        </w:rPr>
        <w:t xml:space="preserve"> </w:t>
      </w:r>
      <w:r w:rsidR="005675D7">
        <w:rPr>
          <w:rFonts w:ascii="Futura" w:hAnsi="Futura"/>
          <w:b/>
          <w:bCs/>
          <w:sz w:val="24"/>
          <w:szCs w:val="24"/>
        </w:rPr>
        <w:t>Fulphila, Neulasta, Neulasta Onpro</w:t>
      </w:r>
    </w:p>
    <w:p w14:paraId="6E9CE643" w14:textId="226AD377" w:rsidR="0090595D" w:rsidRDefault="0090595D" w:rsidP="00320403">
      <w:pPr>
        <w:spacing w:after="0" w:line="240" w:lineRule="auto"/>
        <w:rPr>
          <w:rFonts w:ascii="Futura" w:hAnsi="Futura"/>
          <w:b/>
          <w:bCs/>
          <w:sz w:val="24"/>
          <w:szCs w:val="24"/>
        </w:rPr>
      </w:pPr>
      <w:r w:rsidRPr="00CD2097">
        <w:rPr>
          <w:rFonts w:ascii="Futura" w:hAnsi="Futura"/>
          <w:b/>
          <w:bCs/>
          <w:sz w:val="24"/>
          <w:szCs w:val="24"/>
        </w:rPr>
        <w:t>Secondary Agents:</w:t>
      </w:r>
      <w:r w:rsidR="00CD2097">
        <w:rPr>
          <w:rFonts w:ascii="Futura" w:hAnsi="Futura"/>
          <w:b/>
          <w:bCs/>
          <w:sz w:val="24"/>
          <w:szCs w:val="24"/>
        </w:rPr>
        <w:t xml:space="preserve"> </w:t>
      </w:r>
      <w:r w:rsidR="00533C35">
        <w:rPr>
          <w:rFonts w:ascii="Futura" w:hAnsi="Futura"/>
          <w:b/>
          <w:bCs/>
          <w:sz w:val="24"/>
          <w:szCs w:val="24"/>
        </w:rPr>
        <w:t>Fylnetra, Nyvepria, Rolvedon, Stimufend, Udenyca, Ziextenzo, Ryzneuta</w:t>
      </w:r>
    </w:p>
    <w:p w14:paraId="6CA5A894" w14:textId="77777777" w:rsidR="00255C58" w:rsidRDefault="00255C58" w:rsidP="00320403">
      <w:pPr>
        <w:spacing w:after="0" w:line="240" w:lineRule="auto"/>
        <w:rPr>
          <w:rFonts w:ascii="Futura" w:hAnsi="Futura"/>
          <w:b/>
          <w:bCs/>
          <w:color w:val="00AEDB"/>
          <w:sz w:val="24"/>
          <w:szCs w:val="24"/>
        </w:rPr>
      </w:pPr>
    </w:p>
    <w:p w14:paraId="70B559B7" w14:textId="285FA307" w:rsidR="006629D0" w:rsidRDefault="005675D7" w:rsidP="006629D0">
      <w:pPr>
        <w:spacing w:after="0" w:line="240" w:lineRule="auto"/>
        <w:rPr>
          <w:rFonts w:ascii="Futura" w:hAnsi="Futura"/>
          <w:b/>
          <w:bCs/>
          <w:color w:val="00AEDB"/>
          <w:sz w:val="24"/>
          <w:szCs w:val="24"/>
        </w:rPr>
      </w:pPr>
      <w:r>
        <w:rPr>
          <w:rFonts w:ascii="Futura" w:hAnsi="Futura"/>
          <w:b/>
          <w:bCs/>
          <w:color w:val="00AEDB"/>
          <w:sz w:val="24"/>
          <w:szCs w:val="24"/>
        </w:rPr>
        <w:t>Short</w:t>
      </w:r>
      <w:r w:rsidR="00DC6C71">
        <w:rPr>
          <w:rFonts w:ascii="Futura" w:hAnsi="Futura"/>
          <w:b/>
          <w:bCs/>
          <w:color w:val="00AEDB"/>
          <w:sz w:val="24"/>
          <w:szCs w:val="24"/>
        </w:rPr>
        <w:t xml:space="preserve"> Acting Agent </w:t>
      </w:r>
      <w:r w:rsidR="006629D0">
        <w:rPr>
          <w:rFonts w:ascii="Futura" w:hAnsi="Futura"/>
          <w:b/>
          <w:bCs/>
          <w:color w:val="00AEDB"/>
          <w:sz w:val="24"/>
          <w:szCs w:val="24"/>
        </w:rPr>
        <w:t>Preferencing:</w:t>
      </w:r>
    </w:p>
    <w:p w14:paraId="23C57824" w14:textId="166F6DFD" w:rsidR="006629D0" w:rsidRPr="00CD2097" w:rsidRDefault="006629D0" w:rsidP="006629D0">
      <w:pPr>
        <w:spacing w:after="0" w:line="240" w:lineRule="auto"/>
        <w:rPr>
          <w:rFonts w:ascii="Futura" w:hAnsi="Futura"/>
          <w:sz w:val="24"/>
          <w:szCs w:val="24"/>
        </w:rPr>
      </w:pPr>
      <w:r w:rsidRPr="00CD2097">
        <w:rPr>
          <w:rFonts w:ascii="Futura" w:hAnsi="Futura"/>
          <w:b/>
          <w:bCs/>
          <w:sz w:val="24"/>
          <w:szCs w:val="24"/>
        </w:rPr>
        <w:lastRenderedPageBreak/>
        <w:t>Preferred Agents:</w:t>
      </w:r>
      <w:r>
        <w:rPr>
          <w:rFonts w:ascii="Futura" w:hAnsi="Futura"/>
          <w:b/>
          <w:bCs/>
          <w:sz w:val="24"/>
          <w:szCs w:val="24"/>
        </w:rPr>
        <w:t xml:space="preserve"> </w:t>
      </w:r>
      <w:r w:rsidR="005675D7">
        <w:rPr>
          <w:rFonts w:ascii="Futura" w:hAnsi="Futura"/>
          <w:b/>
          <w:bCs/>
          <w:sz w:val="24"/>
          <w:szCs w:val="24"/>
        </w:rPr>
        <w:t>Zarxio</w:t>
      </w:r>
    </w:p>
    <w:p w14:paraId="699ECD66" w14:textId="0A722910" w:rsidR="006629D0" w:rsidRDefault="006629D0" w:rsidP="006629D0">
      <w:pPr>
        <w:spacing w:after="0" w:line="240" w:lineRule="auto"/>
        <w:rPr>
          <w:rFonts w:ascii="Futura" w:hAnsi="Futura"/>
          <w:b/>
          <w:bCs/>
          <w:sz w:val="24"/>
          <w:szCs w:val="24"/>
        </w:rPr>
      </w:pPr>
      <w:r w:rsidRPr="00CD2097">
        <w:rPr>
          <w:rFonts w:ascii="Futura" w:hAnsi="Futura"/>
          <w:b/>
          <w:bCs/>
          <w:sz w:val="24"/>
          <w:szCs w:val="24"/>
        </w:rPr>
        <w:t>Secondary Agents:</w:t>
      </w:r>
      <w:r>
        <w:rPr>
          <w:rFonts w:ascii="Futura" w:hAnsi="Futura"/>
          <w:b/>
          <w:bCs/>
          <w:sz w:val="24"/>
          <w:szCs w:val="24"/>
        </w:rPr>
        <w:t xml:space="preserve"> </w:t>
      </w:r>
      <w:r w:rsidR="00F67136">
        <w:rPr>
          <w:rFonts w:ascii="Futura" w:hAnsi="Futura"/>
          <w:b/>
          <w:bCs/>
          <w:sz w:val="24"/>
          <w:szCs w:val="24"/>
        </w:rPr>
        <w:t>Granix, Leukine, Neupogen, Nivestym, Releuko, Nypozi</w:t>
      </w:r>
    </w:p>
    <w:p w14:paraId="04F972CA" w14:textId="77777777" w:rsidR="006629D0" w:rsidRDefault="006629D0" w:rsidP="00320403">
      <w:pPr>
        <w:spacing w:after="0" w:line="240" w:lineRule="auto"/>
        <w:rPr>
          <w:rFonts w:ascii="Futura" w:hAnsi="Futura"/>
          <w:b/>
          <w:bCs/>
          <w:color w:val="00AEDB"/>
          <w:sz w:val="24"/>
          <w:szCs w:val="24"/>
        </w:rPr>
      </w:pPr>
    </w:p>
    <w:p w14:paraId="25E29391" w14:textId="2523E219" w:rsidR="00320403" w:rsidRDefault="00B15619" w:rsidP="00320403">
      <w:pPr>
        <w:spacing w:after="0" w:line="240" w:lineRule="auto"/>
        <w:rPr>
          <w:rFonts w:ascii="Futura" w:hAnsi="Futura"/>
          <w:b/>
          <w:bCs/>
          <w:color w:val="00AEDB"/>
          <w:sz w:val="24"/>
          <w:szCs w:val="24"/>
        </w:rPr>
      </w:pPr>
      <w:r>
        <w:rPr>
          <w:rFonts w:ascii="Futura" w:hAnsi="Futura"/>
          <w:b/>
          <w:bCs/>
          <w:color w:val="00AEDB"/>
          <w:sz w:val="24"/>
          <w:szCs w:val="24"/>
        </w:rPr>
        <w:t>Agents</w:t>
      </w:r>
      <w:r w:rsidR="00320403">
        <w:rPr>
          <w:rFonts w:ascii="Futura" w:hAnsi="Futura"/>
          <w:b/>
          <w:bCs/>
          <w:color w:val="00AEDB"/>
          <w:sz w:val="24"/>
          <w:szCs w:val="24"/>
        </w:rPr>
        <w:t>:</w:t>
      </w:r>
    </w:p>
    <w:p w14:paraId="1171CEDC" w14:textId="77777777" w:rsidR="005027EC" w:rsidRPr="00B317BA" w:rsidRDefault="005027EC" w:rsidP="003E1B92">
      <w:pPr>
        <w:spacing w:after="0" w:line="240" w:lineRule="auto"/>
        <w:jc w:val="both"/>
        <w:rPr>
          <w:rFonts w:ascii="Futura" w:eastAsia="Calibri" w:hAnsi="Futura" w:cs="Calibri"/>
          <w:b/>
          <w:bCs/>
          <w:color w:val="000000"/>
          <w:sz w:val="20"/>
          <w:szCs w:val="20"/>
          <w:highlight w:val="yellow"/>
          <w:lang w:bidi="en-US"/>
        </w:rPr>
      </w:pPr>
    </w:p>
    <w:p w14:paraId="561B832D" w14:textId="4C98B417" w:rsidR="006D4824" w:rsidRDefault="003E1B92" w:rsidP="006D4824">
      <w:pPr>
        <w:jc w:val="both"/>
        <w:rPr>
          <w:rFonts w:ascii="Aptos Narrow" w:eastAsia="Times New Roman" w:hAnsi="Aptos Narrow" w:cs="Times New Roman"/>
          <w:b/>
          <w:bCs/>
          <w:color w:val="000000"/>
          <w:kern w:val="0"/>
          <w14:ligatures w14:val="none"/>
        </w:rPr>
      </w:pPr>
      <w:r w:rsidRPr="00467FD5">
        <w:rPr>
          <w:rFonts w:ascii="Futura" w:eastAsia="Calibri" w:hAnsi="Futura" w:cs="Calibri"/>
          <w:b/>
          <w:bCs/>
          <w:color w:val="000000"/>
          <w:sz w:val="20"/>
          <w:szCs w:val="20"/>
          <w:lang w:bidi="en-US"/>
        </w:rPr>
        <w:t>HCPCS</w:t>
      </w:r>
      <w:r w:rsidRPr="00450132">
        <w:rPr>
          <w:rFonts w:ascii="Futura" w:eastAsia="Calibri" w:hAnsi="Futura" w:cs="Calibri"/>
          <w:b/>
          <w:bCs/>
          <w:color w:val="000000"/>
          <w:sz w:val="20"/>
          <w:szCs w:val="20"/>
          <w:lang w:bidi="en-US"/>
        </w:rPr>
        <w:t xml:space="preserve">: </w:t>
      </w:r>
      <w:r w:rsidR="00EC3083" w:rsidRPr="00EC3083">
        <w:rPr>
          <w:rFonts w:ascii="Futura" w:eastAsia="Calibri" w:hAnsi="Futura" w:cs="Calibri"/>
          <w:b/>
          <w:bCs/>
          <w:color w:val="000000"/>
          <w:sz w:val="20"/>
          <w:szCs w:val="20"/>
          <w:lang w:bidi="en-US"/>
        </w:rPr>
        <w:t>Q5108, J2506, Q5130, Q5122, Q5127, Q5111, Q5120, J9361, J1449</w:t>
      </w:r>
      <w:r w:rsidR="00EC3083">
        <w:rPr>
          <w:rFonts w:ascii="Futura" w:eastAsia="Calibri" w:hAnsi="Futura" w:cs="Calibri"/>
          <w:b/>
          <w:bCs/>
          <w:color w:val="000000"/>
          <w:sz w:val="20"/>
          <w:szCs w:val="20"/>
          <w:lang w:bidi="en-US"/>
        </w:rPr>
        <w:t xml:space="preserve">, </w:t>
      </w:r>
      <w:r w:rsidR="00EC3083" w:rsidRPr="00EC3083">
        <w:rPr>
          <w:rFonts w:ascii="Futura" w:eastAsia="Calibri" w:hAnsi="Futura" w:cs="Calibri"/>
          <w:b/>
          <w:bCs/>
          <w:color w:val="000000"/>
          <w:sz w:val="20"/>
          <w:szCs w:val="20"/>
          <w:lang w:bidi="en-US"/>
        </w:rPr>
        <w:t>Q5101, J1447, J1442, Q5110, Q5125, J2820, C9173</w:t>
      </w:r>
    </w:p>
    <w:p w14:paraId="73756E07" w14:textId="289DB943" w:rsidR="00F525B1" w:rsidRPr="00450132" w:rsidRDefault="00F525B1" w:rsidP="006D4824">
      <w:pPr>
        <w:jc w:val="both"/>
        <w:rPr>
          <w:rFonts w:ascii="Aptos Narrow" w:eastAsia="Times New Roman" w:hAnsi="Aptos Narrow" w:cs="Times New Roman"/>
          <w:b/>
          <w:bCs/>
          <w:color w:val="000000"/>
          <w:kern w:val="0"/>
          <w14:ligatures w14:val="none"/>
        </w:rPr>
      </w:pPr>
      <w:r w:rsidRPr="00F525B1">
        <w:rPr>
          <w:noProof/>
        </w:rPr>
        <w:drawing>
          <wp:inline distT="0" distB="0" distL="0" distR="0" wp14:anchorId="472B1565" wp14:editId="76AA9D59">
            <wp:extent cx="5943600" cy="184150"/>
            <wp:effectExtent l="0" t="0" r="0" b="6350"/>
            <wp:docPr id="119841938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84150"/>
                    </a:xfrm>
                    <a:prstGeom prst="rect">
                      <a:avLst/>
                    </a:prstGeom>
                    <a:noFill/>
                    <a:ln>
                      <a:noFill/>
                    </a:ln>
                  </pic:spPr>
                </pic:pic>
              </a:graphicData>
            </a:graphic>
          </wp:inline>
        </w:drawing>
      </w:r>
    </w:p>
    <w:p w14:paraId="075DB644" w14:textId="12D3C0BD" w:rsidR="00785304" w:rsidRDefault="00785304" w:rsidP="00785304">
      <w:pPr>
        <w:spacing w:after="0" w:line="240" w:lineRule="auto"/>
        <w:rPr>
          <w:rFonts w:ascii="Futura" w:eastAsia="Calibri" w:hAnsi="Futura" w:cs="Calibri"/>
          <w:color w:val="000000"/>
          <w:sz w:val="20"/>
          <w:szCs w:val="20"/>
          <w:lang w:bidi="en-US"/>
        </w:rPr>
      </w:pPr>
      <w:r w:rsidRPr="00785304">
        <w:rPr>
          <w:rFonts w:ascii="Futura" w:eastAsia="Calibri" w:hAnsi="Futura" w:cs="Calibri"/>
          <w:color w:val="000000"/>
          <w:sz w:val="20"/>
          <w:szCs w:val="20"/>
          <w:lang w:bidi="en-US"/>
        </w:rPr>
        <w:t>G-CSF and GM-CSF are recombinant human neutrophil colony-stimulating factors that facilitate stimulation, proliferation, differentiation, and commitment of hematopoietic stem cells, resulting in increased neutrophil count and function.</w:t>
      </w:r>
      <w:bookmarkStart w:id="0" w:name="cl_c_9"/>
      <w:bookmarkStart w:id="1" w:name="cl_c_5"/>
      <w:bookmarkStart w:id="2" w:name="cl_c_6"/>
      <w:bookmarkStart w:id="3" w:name="cl_c_7"/>
      <w:bookmarkStart w:id="4" w:name="cl_c_8"/>
      <w:bookmarkEnd w:id="0"/>
      <w:bookmarkEnd w:id="1"/>
      <w:bookmarkEnd w:id="2"/>
      <w:bookmarkEnd w:id="3"/>
      <w:bookmarkEnd w:id="4"/>
      <w:r w:rsidRPr="00785304">
        <w:rPr>
          <w:rFonts w:ascii="Futura" w:eastAsia="Calibri" w:hAnsi="Futura" w:cs="Calibri"/>
          <w:color w:val="000000"/>
          <w:sz w:val="20"/>
          <w:szCs w:val="20"/>
          <w:lang w:bidi="en-US"/>
        </w:rPr>
        <w:t> </w:t>
      </w:r>
      <w:r w:rsidR="00236D1D">
        <w:rPr>
          <w:rFonts w:ascii="Futura" w:eastAsia="Calibri" w:hAnsi="Futura" w:cs="Calibri"/>
          <w:color w:val="000000"/>
          <w:sz w:val="20"/>
          <w:szCs w:val="20"/>
          <w:lang w:bidi="en-US"/>
        </w:rPr>
        <w:t xml:space="preserve"> </w:t>
      </w:r>
      <w:r w:rsidRPr="00785304">
        <w:rPr>
          <w:rFonts w:ascii="Futura" w:eastAsia="Calibri" w:hAnsi="Futura" w:cs="Calibri"/>
          <w:color w:val="000000"/>
          <w:sz w:val="20"/>
          <w:szCs w:val="20"/>
          <w:lang w:bidi="en-US"/>
        </w:rPr>
        <w:t>Pegfilgrastim, compared with filgrastim, has reduced renal clearance and a longer half-life.</w:t>
      </w:r>
    </w:p>
    <w:p w14:paraId="54FC6349" w14:textId="77777777" w:rsidR="00785304" w:rsidRDefault="00785304" w:rsidP="00785304">
      <w:pPr>
        <w:spacing w:after="0" w:line="240" w:lineRule="auto"/>
        <w:rPr>
          <w:rFonts w:ascii="Futura" w:eastAsia="Calibri" w:hAnsi="Futura" w:cs="Calibri"/>
          <w:color w:val="000000"/>
          <w:sz w:val="20"/>
          <w:szCs w:val="20"/>
          <w:lang w:bidi="en-US"/>
        </w:rPr>
      </w:pPr>
    </w:p>
    <w:p w14:paraId="1B204FF6" w14:textId="50A53C31" w:rsidR="008952B9" w:rsidRPr="008952B9" w:rsidRDefault="008952B9" w:rsidP="008952B9">
      <w:pPr>
        <w:numPr>
          <w:ilvl w:val="0"/>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Granulocyte colony-stimulating factor (G-CSF) or granulocyte-macrophage colony-stimulating factor (GM-CSF) may be indicated for 1 or more of the following</w:t>
      </w:r>
      <w:bookmarkStart w:id="5" w:name="cl_c_1"/>
      <w:bookmarkStart w:id="6" w:name="cl_c_2"/>
      <w:bookmarkStart w:id="7" w:name="cl_c_3"/>
      <w:bookmarkStart w:id="8" w:name="cl_c_4"/>
      <w:bookmarkEnd w:id="5"/>
      <w:bookmarkEnd w:id="6"/>
      <w:bookmarkEnd w:id="7"/>
      <w:bookmarkEnd w:id="8"/>
      <w:r w:rsidRPr="008952B9">
        <w:rPr>
          <w:rFonts w:ascii="Futura" w:eastAsia="Calibri" w:hAnsi="Futura" w:cs="Calibri"/>
          <w:color w:val="000000"/>
          <w:sz w:val="20"/>
          <w:szCs w:val="20"/>
          <w:lang w:bidi="en-US"/>
        </w:rPr>
        <w:t>:</w:t>
      </w:r>
    </w:p>
    <w:p w14:paraId="41A85959" w14:textId="649DD5B1" w:rsidR="008952B9" w:rsidRPr="008952B9" w:rsidRDefault="008952B9" w:rsidP="008952B9">
      <w:pPr>
        <w:numPr>
          <w:ilvl w:val="1"/>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 Acute myeloid leukemia and 1 or more of the following</w:t>
      </w:r>
      <w:bookmarkStart w:id="9" w:name="cl_c_49"/>
      <w:bookmarkEnd w:id="9"/>
      <w:r w:rsidRPr="008952B9">
        <w:rPr>
          <w:rFonts w:ascii="Futura" w:eastAsia="Calibri" w:hAnsi="Futura" w:cs="Calibri"/>
          <w:color w:val="000000"/>
          <w:sz w:val="20"/>
          <w:szCs w:val="20"/>
          <w:lang w:bidi="en-US"/>
        </w:rPr>
        <w:t>:</w:t>
      </w:r>
      <w:r w:rsidRPr="008952B9">
        <w:rPr>
          <w:rFonts w:ascii="Futura" w:eastAsia="Calibri" w:hAnsi="Futura" w:cs="Calibri"/>
          <w:noProof/>
          <w:color w:val="000000"/>
          <w:sz w:val="20"/>
          <w:szCs w:val="20"/>
          <w:lang w:bidi="en-US"/>
        </w:rPr>
        <mc:AlternateContent>
          <mc:Choice Requires="wps">
            <w:drawing>
              <wp:inline distT="0" distB="0" distL="0" distR="0" wp14:anchorId="146CD922" wp14:editId="4C1C5A11">
                <wp:extent cx="304800" cy="304800"/>
                <wp:effectExtent l="0" t="0" r="0" b="0"/>
                <wp:docPr id="2001959314" name="Rectangle 36" descr="Supporting evidence, suggestions, and alternatives">
                  <a:hlinkClick xmlns:a="http://schemas.openxmlformats.org/drawingml/2006/main" r:id="rId11" tooltip="&quot;Supporting evidence, suggestions, and alternatives&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7ED859" id="Rectangle 36" o:spid="_x0000_s1026" alt="Supporting evidence, suggestions, and alternatives" href="https://rxadvance.carewebqi.com/GuidelineViewer.aspx/cver28.0/ac/ac04_039.htm?args=AQAAANCMnd8BFdERjHoAwE_Cl-sBAAAAtogmHFeQDkyCDKJTPYzHqAQAAAACAAAAAAAQZgAAAAEAACAAAABSw014fTbIT9xBfZGD7oQ27UdrHHohxGiWPDiG_X16FAAAAAAOgAAAAAIAACAAAADWCRmU6kNWireg9wywavp3zP0Wc0MQ0QHCqmSuLtSLsRAAAABFIQP5nTlZGvS6Q02ApMlbQAAAANAUS3qHxwopHafBRnKmssyvB3eGMdMzG8FbBFiP8uQPj8iHrslkICwZy7ZASwaI0RxVYhLXbtqp3XH2q7ShoFs1" title="&quot;Supporting evidence, suggestions, and alternatives&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72788205" w14:textId="75EC0198" w:rsidR="008952B9" w:rsidRPr="008952B9" w:rsidRDefault="008952B9" w:rsidP="008952B9">
      <w:pPr>
        <w:numPr>
          <w:ilvl w:val="2"/>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Induction chemotherapy using filgrastim</w:t>
      </w:r>
      <w:bookmarkStart w:id="10" w:name="cl_c_60"/>
      <w:bookmarkEnd w:id="10"/>
      <w:r w:rsidR="00236D1D" w:rsidRPr="008952B9">
        <w:rPr>
          <w:rFonts w:ascii="Futura" w:eastAsia="Calibri" w:hAnsi="Futura" w:cs="Calibri"/>
          <w:color w:val="000000"/>
          <w:sz w:val="20"/>
          <w:szCs w:val="20"/>
          <w:lang w:bidi="en-US"/>
        </w:rPr>
        <w:t xml:space="preserve"> </w:t>
      </w:r>
    </w:p>
    <w:p w14:paraId="14210017" w14:textId="321D3F80" w:rsidR="008952B9" w:rsidRPr="008952B9" w:rsidRDefault="008952B9" w:rsidP="008952B9">
      <w:pPr>
        <w:numPr>
          <w:ilvl w:val="2"/>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 xml:space="preserve">Induction chemotherapy using sargramostim in patient </w:t>
      </w:r>
      <w:r w:rsidR="00236D1D" w:rsidRPr="008952B9">
        <w:rPr>
          <w:rFonts w:ascii="Futura" w:eastAsia="Calibri" w:hAnsi="Futura" w:cs="Calibri"/>
          <w:color w:val="000000"/>
          <w:sz w:val="20"/>
          <w:szCs w:val="20"/>
          <w:lang w:bidi="en-US"/>
        </w:rPr>
        <w:t>aged</w:t>
      </w:r>
      <w:r w:rsidRPr="008952B9">
        <w:rPr>
          <w:rFonts w:ascii="Futura" w:eastAsia="Calibri" w:hAnsi="Futura" w:cs="Calibri"/>
          <w:color w:val="000000"/>
          <w:sz w:val="20"/>
          <w:szCs w:val="20"/>
          <w:lang w:bidi="en-US"/>
        </w:rPr>
        <w:t xml:space="preserve"> 55 years or older</w:t>
      </w:r>
      <w:bookmarkStart w:id="11" w:name="cl_c_63"/>
      <w:bookmarkEnd w:id="11"/>
      <w:r w:rsidR="00236D1D" w:rsidRPr="008952B9">
        <w:rPr>
          <w:rFonts w:ascii="Futura" w:eastAsia="Calibri" w:hAnsi="Futura" w:cs="Calibri"/>
          <w:color w:val="000000"/>
          <w:sz w:val="20"/>
          <w:szCs w:val="20"/>
          <w:lang w:bidi="en-US"/>
        </w:rPr>
        <w:t xml:space="preserve"> </w:t>
      </w:r>
    </w:p>
    <w:p w14:paraId="510D3903" w14:textId="0731BC67" w:rsidR="008952B9" w:rsidRPr="008952B9" w:rsidRDefault="008952B9" w:rsidP="008952B9">
      <w:pPr>
        <w:numPr>
          <w:ilvl w:val="2"/>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Consolidation chemotherapy using filgrastim</w:t>
      </w:r>
      <w:bookmarkStart w:id="12" w:name="cl_c_65"/>
      <w:bookmarkEnd w:id="12"/>
      <w:r w:rsidR="00236D1D" w:rsidRPr="008952B9">
        <w:rPr>
          <w:rFonts w:ascii="Futura" w:eastAsia="Calibri" w:hAnsi="Futura" w:cs="Calibri"/>
          <w:color w:val="000000"/>
          <w:sz w:val="20"/>
          <w:szCs w:val="20"/>
          <w:lang w:bidi="en-US"/>
        </w:rPr>
        <w:t xml:space="preserve"> </w:t>
      </w:r>
    </w:p>
    <w:p w14:paraId="03510CF3" w14:textId="2C2ED4ED" w:rsidR="008952B9" w:rsidRPr="008952B9" w:rsidRDefault="008952B9" w:rsidP="008952B9">
      <w:pPr>
        <w:numPr>
          <w:ilvl w:val="2"/>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Salvage chemotherapy following relapse</w:t>
      </w:r>
      <w:bookmarkStart w:id="13" w:name="cl_c_66"/>
      <w:bookmarkEnd w:id="13"/>
    </w:p>
    <w:p w14:paraId="576A661F" w14:textId="1C7C38DA" w:rsidR="008952B9" w:rsidRPr="008952B9" w:rsidRDefault="008952B9" w:rsidP="008952B9">
      <w:pPr>
        <w:numPr>
          <w:ilvl w:val="1"/>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 Acute radiation exposure and 1 or more of the following:</w:t>
      </w:r>
    </w:p>
    <w:p w14:paraId="27DC94AC" w14:textId="77777777" w:rsidR="008952B9" w:rsidRPr="008952B9" w:rsidRDefault="008952B9" w:rsidP="008952B9">
      <w:pPr>
        <w:numPr>
          <w:ilvl w:val="2"/>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Absolute neutrophil count less than 500/mm3 (0.5 x109/L) and expected to persist for 1 week or more</w:t>
      </w:r>
    </w:p>
    <w:p w14:paraId="54405A0F" w14:textId="19087578" w:rsidR="008952B9" w:rsidRPr="008952B9" w:rsidRDefault="008952B9" w:rsidP="008952B9">
      <w:pPr>
        <w:numPr>
          <w:ilvl w:val="2"/>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Lymphocyte count less than 1400/mm3 (1.4 x109/L) at 48 hours</w:t>
      </w:r>
      <w:bookmarkStart w:id="14" w:name="cl_c_77"/>
      <w:bookmarkEnd w:id="14"/>
    </w:p>
    <w:p w14:paraId="43CBC78B" w14:textId="77777777" w:rsidR="008952B9" w:rsidRPr="008952B9" w:rsidRDefault="008952B9" w:rsidP="008952B9">
      <w:pPr>
        <w:numPr>
          <w:ilvl w:val="2"/>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Radiation dose (confirmed or suspected) of greater than 2 Gy</w:t>
      </w:r>
    </w:p>
    <w:p w14:paraId="7BB2EE05" w14:textId="7EB3FC05" w:rsidR="008952B9" w:rsidRPr="008952B9" w:rsidRDefault="008952B9" w:rsidP="008952B9">
      <w:pPr>
        <w:numPr>
          <w:ilvl w:val="1"/>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 Myelodysplastic syndrome and </w:t>
      </w:r>
      <w:r w:rsidR="00E8768A" w:rsidRPr="008952B9">
        <w:rPr>
          <w:rFonts w:ascii="Futura" w:eastAsia="Calibri" w:hAnsi="Futura" w:cs="Calibri"/>
          <w:color w:val="000000"/>
          <w:sz w:val="20"/>
          <w:szCs w:val="20"/>
          <w:lang w:bidi="en-US"/>
        </w:rPr>
        <w:t>ALL</w:t>
      </w:r>
      <w:r w:rsidRPr="008952B9">
        <w:rPr>
          <w:rFonts w:ascii="Futura" w:eastAsia="Calibri" w:hAnsi="Futura" w:cs="Calibri"/>
          <w:color w:val="000000"/>
          <w:sz w:val="20"/>
          <w:szCs w:val="20"/>
          <w:lang w:bidi="en-US"/>
        </w:rPr>
        <w:t xml:space="preserve"> the following</w:t>
      </w:r>
      <w:bookmarkStart w:id="15" w:name="cl_c_78"/>
      <w:bookmarkStart w:id="16" w:name="cl_c_79"/>
      <w:bookmarkEnd w:id="15"/>
      <w:bookmarkEnd w:id="16"/>
      <w:r w:rsidRPr="008952B9">
        <w:rPr>
          <w:rFonts w:ascii="Futura" w:eastAsia="Calibri" w:hAnsi="Futura" w:cs="Calibri"/>
          <w:color w:val="000000"/>
          <w:sz w:val="20"/>
          <w:szCs w:val="20"/>
          <w:lang w:bidi="en-US"/>
        </w:rPr>
        <w:t>:</w:t>
      </w:r>
      <w:r w:rsidRPr="008952B9">
        <w:rPr>
          <w:rFonts w:ascii="Futura" w:eastAsia="Calibri" w:hAnsi="Futura" w:cs="Calibri"/>
          <w:noProof/>
          <w:color w:val="000000"/>
          <w:sz w:val="20"/>
          <w:szCs w:val="20"/>
          <w:lang w:bidi="en-US"/>
        </w:rPr>
        <mc:AlternateContent>
          <mc:Choice Requires="wps">
            <w:drawing>
              <wp:inline distT="0" distB="0" distL="0" distR="0" wp14:anchorId="3E3A4F1D" wp14:editId="4DB5E8DA">
                <wp:extent cx="304800" cy="304800"/>
                <wp:effectExtent l="0" t="0" r="0" b="0"/>
                <wp:docPr id="1651526641" name="Rectangle 32" descr="Supporting evidence, suggestions, and alternatives">
                  <a:hlinkClick xmlns:a="http://schemas.openxmlformats.org/drawingml/2006/main" r:id="rId11" tooltip="&quot;Supporting evidence, suggestions, and alternatives&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8C9FB5" id="Rectangle 32" o:spid="_x0000_s1026" alt="Supporting evidence, suggestions, and alternatives" href="https://rxadvance.carewebqi.com/GuidelineViewer.aspx/cver28.0/ac/ac04_039.htm?args=AQAAANCMnd8BFdERjHoAwE_Cl-sBAAAAtogmHFeQDkyCDKJTPYzHqAQAAAACAAAAAAAQZgAAAAEAACAAAABSw014fTbIT9xBfZGD7oQ27UdrHHohxGiWPDiG_X16FAAAAAAOgAAAAAIAACAAAADWCRmU6kNWireg9wywavp3zP0Wc0MQ0QHCqmSuLtSLsRAAAABFIQP5nTlZGvS6Q02ApMlbQAAAANAUS3qHxwopHafBRnKmssyvB3eGMdMzG8FbBFiP8uQPj8iHrslkICwZy7ZASwaI0RxVYhLXbtqp3XH2q7ShoFs1" title="&quot;Supporting evidence, suggestions, and alternatives&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1A621D72" w14:textId="77777777" w:rsidR="008952B9" w:rsidRPr="008952B9" w:rsidRDefault="008952B9" w:rsidP="008952B9">
      <w:pPr>
        <w:numPr>
          <w:ilvl w:val="2"/>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Absolute neutrophil count less than 1500/mm3 (1.5 x109/L)</w:t>
      </w:r>
    </w:p>
    <w:p w14:paraId="411059FB" w14:textId="77777777" w:rsidR="008952B9" w:rsidRPr="008952B9" w:rsidRDefault="008952B9" w:rsidP="008952B9">
      <w:pPr>
        <w:numPr>
          <w:ilvl w:val="2"/>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History of recurrent or resistant infections</w:t>
      </w:r>
    </w:p>
    <w:p w14:paraId="2B58DB89" w14:textId="3359407E" w:rsidR="008952B9" w:rsidRPr="008952B9" w:rsidRDefault="008952B9" w:rsidP="008952B9">
      <w:pPr>
        <w:numPr>
          <w:ilvl w:val="1"/>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 Myeloid engraftment for hematopoietic stem cell transplant and 1 or more of the following</w:t>
      </w:r>
      <w:bookmarkStart w:id="17" w:name="cl_c_82"/>
      <w:bookmarkStart w:id="18" w:name="cl_c_83"/>
      <w:bookmarkStart w:id="19" w:name="cl_c_84"/>
      <w:bookmarkEnd w:id="17"/>
      <w:bookmarkEnd w:id="18"/>
      <w:bookmarkEnd w:id="19"/>
      <w:r w:rsidRPr="008952B9">
        <w:rPr>
          <w:rFonts w:ascii="Futura" w:eastAsia="Calibri" w:hAnsi="Futura" w:cs="Calibri"/>
          <w:color w:val="000000"/>
          <w:sz w:val="20"/>
          <w:szCs w:val="20"/>
          <w:lang w:bidi="en-US"/>
        </w:rPr>
        <w:t>:</w:t>
      </w:r>
    </w:p>
    <w:p w14:paraId="0AEAD916" w14:textId="4D276494" w:rsidR="008952B9" w:rsidRPr="008952B9" w:rsidRDefault="008952B9" w:rsidP="008952B9">
      <w:pPr>
        <w:numPr>
          <w:ilvl w:val="2"/>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Hematopoietic stem cell transplant failure or delay in engraftment</w:t>
      </w:r>
      <w:bookmarkStart w:id="20" w:name="cl_c_89"/>
      <w:bookmarkEnd w:id="20"/>
      <w:r w:rsidR="00236D1D" w:rsidRPr="008952B9">
        <w:rPr>
          <w:rFonts w:ascii="Futura" w:eastAsia="Calibri" w:hAnsi="Futura" w:cs="Calibri"/>
          <w:color w:val="000000"/>
          <w:sz w:val="20"/>
          <w:szCs w:val="20"/>
          <w:lang w:bidi="en-US"/>
        </w:rPr>
        <w:t xml:space="preserve"> </w:t>
      </w:r>
    </w:p>
    <w:p w14:paraId="6E96CAF3" w14:textId="781FAFE4" w:rsidR="008952B9" w:rsidRPr="008952B9" w:rsidRDefault="008952B9" w:rsidP="008952B9">
      <w:pPr>
        <w:numPr>
          <w:ilvl w:val="2"/>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Mobilization of peripheral blood progenitor cells prior to hematopoietic stem cell transplant</w:t>
      </w:r>
      <w:bookmarkStart w:id="21" w:name="cl_c_94"/>
      <w:bookmarkStart w:id="22" w:name="cl_c_95"/>
      <w:bookmarkStart w:id="23" w:name="cl_c_96"/>
      <w:bookmarkStart w:id="24" w:name="cl_c_97"/>
      <w:bookmarkStart w:id="25" w:name="cl_c_98"/>
      <w:bookmarkEnd w:id="21"/>
      <w:bookmarkEnd w:id="22"/>
      <w:bookmarkEnd w:id="23"/>
      <w:bookmarkEnd w:id="24"/>
      <w:bookmarkEnd w:id="25"/>
      <w:r w:rsidR="00236D1D" w:rsidRPr="008952B9">
        <w:rPr>
          <w:rFonts w:ascii="Futura" w:eastAsia="Calibri" w:hAnsi="Futura" w:cs="Calibri"/>
          <w:color w:val="000000"/>
          <w:sz w:val="20"/>
          <w:szCs w:val="20"/>
          <w:lang w:bidi="en-US"/>
        </w:rPr>
        <w:t xml:space="preserve"> </w:t>
      </w:r>
    </w:p>
    <w:p w14:paraId="29F4C1B1" w14:textId="26C37C42" w:rsidR="008952B9" w:rsidRPr="008952B9" w:rsidRDefault="00E8768A" w:rsidP="008952B9">
      <w:pPr>
        <w:numPr>
          <w:ilvl w:val="2"/>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Non myeloid</w:t>
      </w:r>
      <w:r w:rsidR="008952B9" w:rsidRPr="008952B9">
        <w:rPr>
          <w:rFonts w:ascii="Futura" w:eastAsia="Calibri" w:hAnsi="Futura" w:cs="Calibri"/>
          <w:color w:val="000000"/>
          <w:sz w:val="20"/>
          <w:szCs w:val="20"/>
          <w:lang w:bidi="en-US"/>
        </w:rPr>
        <w:t xml:space="preserve"> malignancy undergoing myeloablative chemotherapy followed by bone marrow or peripheral blood progenitor cell transplant</w:t>
      </w:r>
      <w:r w:rsidR="00236D1D" w:rsidRPr="008952B9">
        <w:rPr>
          <w:rFonts w:ascii="Futura" w:eastAsia="Calibri" w:hAnsi="Futura" w:cs="Calibri"/>
          <w:color w:val="000000"/>
          <w:sz w:val="20"/>
          <w:szCs w:val="20"/>
          <w:lang w:bidi="en-US"/>
        </w:rPr>
        <w:t xml:space="preserve"> </w:t>
      </w:r>
    </w:p>
    <w:p w14:paraId="2DB76F0E" w14:textId="6A4FE00A" w:rsidR="008952B9" w:rsidRPr="008952B9" w:rsidRDefault="008952B9" w:rsidP="008952B9">
      <w:pPr>
        <w:numPr>
          <w:ilvl w:val="1"/>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 xml:space="preserve"> Myelosuppressive chemotherapy for </w:t>
      </w:r>
      <w:r w:rsidR="00E8768A" w:rsidRPr="008952B9">
        <w:rPr>
          <w:rFonts w:ascii="Futura" w:eastAsia="Calibri" w:hAnsi="Futura" w:cs="Calibri"/>
          <w:color w:val="000000"/>
          <w:sz w:val="20"/>
          <w:szCs w:val="20"/>
          <w:lang w:bidi="en-US"/>
        </w:rPr>
        <w:t>non-myeloid</w:t>
      </w:r>
      <w:r w:rsidRPr="008952B9">
        <w:rPr>
          <w:rFonts w:ascii="Futura" w:eastAsia="Calibri" w:hAnsi="Futura" w:cs="Calibri"/>
          <w:color w:val="000000"/>
          <w:sz w:val="20"/>
          <w:szCs w:val="20"/>
          <w:lang w:bidi="en-US"/>
        </w:rPr>
        <w:t xml:space="preserve"> malignancy (first cycle) and 1 or more of the following</w:t>
      </w:r>
      <w:bookmarkStart w:id="26" w:name="cl_c_104"/>
      <w:bookmarkStart w:id="27" w:name="cl_c_105"/>
      <w:bookmarkEnd w:id="26"/>
      <w:bookmarkEnd w:id="27"/>
      <w:r w:rsidRPr="008952B9">
        <w:rPr>
          <w:rFonts w:ascii="Futura" w:eastAsia="Calibri" w:hAnsi="Futura" w:cs="Calibri"/>
          <w:color w:val="000000"/>
          <w:sz w:val="20"/>
          <w:szCs w:val="20"/>
          <w:lang w:bidi="en-US"/>
        </w:rPr>
        <w:t>:</w:t>
      </w:r>
    </w:p>
    <w:p w14:paraId="712C3810" w14:textId="5F79D2E4" w:rsidR="008952B9" w:rsidRPr="008952B9" w:rsidRDefault="008952B9" w:rsidP="008952B9">
      <w:pPr>
        <w:numPr>
          <w:ilvl w:val="2"/>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Administration of 3 or more myelosuppressive agents</w:t>
      </w:r>
      <w:bookmarkStart w:id="28" w:name="cl_c_118"/>
      <w:bookmarkStart w:id="29" w:name="cl_c_119"/>
      <w:bookmarkEnd w:id="28"/>
      <w:bookmarkEnd w:id="29"/>
      <w:r w:rsidR="00236D1D" w:rsidRPr="008952B9">
        <w:rPr>
          <w:rFonts w:ascii="Futura" w:eastAsia="Calibri" w:hAnsi="Futura" w:cs="Calibri"/>
          <w:color w:val="000000"/>
          <w:sz w:val="20"/>
          <w:szCs w:val="20"/>
          <w:lang w:bidi="en-US"/>
        </w:rPr>
        <w:t xml:space="preserve"> </w:t>
      </w:r>
    </w:p>
    <w:p w14:paraId="486F9EB2" w14:textId="257DBF0B" w:rsidR="008952B9" w:rsidRPr="008952B9" w:rsidRDefault="008952B9" w:rsidP="008952B9">
      <w:pPr>
        <w:numPr>
          <w:ilvl w:val="2"/>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Age 65 years or older</w:t>
      </w:r>
      <w:bookmarkStart w:id="30" w:name="cl_c_120"/>
      <w:bookmarkStart w:id="31" w:name="cl_c_121"/>
      <w:bookmarkEnd w:id="30"/>
      <w:bookmarkEnd w:id="31"/>
      <w:r w:rsidR="00236D1D" w:rsidRPr="008952B9">
        <w:rPr>
          <w:rFonts w:ascii="Futura" w:eastAsia="Calibri" w:hAnsi="Futura" w:cs="Calibri"/>
          <w:color w:val="000000"/>
          <w:sz w:val="20"/>
          <w:szCs w:val="20"/>
          <w:lang w:bidi="en-US"/>
        </w:rPr>
        <w:t xml:space="preserve"> </w:t>
      </w:r>
    </w:p>
    <w:p w14:paraId="7D27E741" w14:textId="6416C66F" w:rsidR="008952B9" w:rsidRPr="008952B9" w:rsidRDefault="008952B9" w:rsidP="008952B9">
      <w:pPr>
        <w:numPr>
          <w:ilvl w:val="2"/>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Chemotherapy regimen has historical risk of febrile neutropenia of greater than 20%.</w:t>
      </w:r>
      <w:bookmarkStart w:id="32" w:name="cl_c_122"/>
      <w:bookmarkEnd w:id="32"/>
    </w:p>
    <w:p w14:paraId="7EDFAB96" w14:textId="483E1CEE" w:rsidR="008952B9" w:rsidRPr="008952B9" w:rsidRDefault="008952B9" w:rsidP="008952B9">
      <w:pPr>
        <w:numPr>
          <w:ilvl w:val="2"/>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Elevated alkaline phosphatase</w:t>
      </w:r>
      <w:bookmarkStart w:id="33" w:name="cl_c_126"/>
      <w:bookmarkEnd w:id="33"/>
    </w:p>
    <w:p w14:paraId="65C686D0" w14:textId="2218FE7F" w:rsidR="008952B9" w:rsidRPr="008952B9" w:rsidRDefault="008952B9" w:rsidP="008952B9">
      <w:pPr>
        <w:numPr>
          <w:ilvl w:val="2"/>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Elevated bilirubin</w:t>
      </w:r>
      <w:bookmarkStart w:id="34" w:name="cl_c_127"/>
      <w:bookmarkEnd w:id="34"/>
    </w:p>
    <w:p w14:paraId="0C2EB401" w14:textId="33E8214F" w:rsidR="008952B9" w:rsidRPr="008952B9" w:rsidRDefault="008952B9" w:rsidP="008952B9">
      <w:pPr>
        <w:numPr>
          <w:ilvl w:val="2"/>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Glomerular filtration rate less than 30 mL/min/1.73m2 (0.5 mL/sec/1.73m2) eGFR - Adult Calculator</w:t>
      </w:r>
    </w:p>
    <w:p w14:paraId="76BC470D" w14:textId="77777777" w:rsidR="008952B9" w:rsidRPr="008952B9" w:rsidRDefault="008952B9" w:rsidP="008952B9">
      <w:pPr>
        <w:numPr>
          <w:ilvl w:val="2"/>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HIV infection with low CD4 counts</w:t>
      </w:r>
    </w:p>
    <w:p w14:paraId="2FFEC2DF" w14:textId="77777777" w:rsidR="008952B9" w:rsidRPr="008952B9" w:rsidRDefault="008952B9" w:rsidP="008952B9">
      <w:pPr>
        <w:numPr>
          <w:ilvl w:val="2"/>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Low serum albumin</w:t>
      </w:r>
    </w:p>
    <w:p w14:paraId="5B86B64F" w14:textId="77777777" w:rsidR="008952B9" w:rsidRPr="008952B9" w:rsidRDefault="008952B9" w:rsidP="008952B9">
      <w:pPr>
        <w:numPr>
          <w:ilvl w:val="2"/>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Low serum hemoglobin</w:t>
      </w:r>
    </w:p>
    <w:p w14:paraId="5A0CD19C" w14:textId="13526997" w:rsidR="008952B9" w:rsidRPr="008952B9" w:rsidRDefault="008952B9" w:rsidP="008952B9">
      <w:pPr>
        <w:numPr>
          <w:ilvl w:val="2"/>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lastRenderedPageBreak/>
        <w:t>Pre-existing bone marrow involvement with tumor</w:t>
      </w:r>
      <w:bookmarkStart w:id="35" w:name="cl_c_128"/>
      <w:bookmarkEnd w:id="35"/>
    </w:p>
    <w:p w14:paraId="38D23081" w14:textId="0D9A6C50" w:rsidR="008952B9" w:rsidRPr="008952B9" w:rsidRDefault="008952B9" w:rsidP="008952B9">
      <w:pPr>
        <w:numPr>
          <w:ilvl w:val="2"/>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Pre-existing infection</w:t>
      </w:r>
      <w:bookmarkStart w:id="36" w:name="cl_c_129"/>
      <w:bookmarkEnd w:id="36"/>
    </w:p>
    <w:p w14:paraId="729B8EBD" w14:textId="062FBFB3" w:rsidR="008952B9" w:rsidRPr="008952B9" w:rsidRDefault="008952B9" w:rsidP="008952B9">
      <w:pPr>
        <w:numPr>
          <w:ilvl w:val="2"/>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Pre-existing neutropenia</w:t>
      </w:r>
      <w:bookmarkStart w:id="37" w:name="cl_c_130"/>
      <w:bookmarkEnd w:id="37"/>
    </w:p>
    <w:p w14:paraId="54BFEC9C" w14:textId="1019ACFB" w:rsidR="008952B9" w:rsidRPr="008952B9" w:rsidRDefault="008952B9" w:rsidP="008952B9">
      <w:pPr>
        <w:numPr>
          <w:ilvl w:val="2"/>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Pre-existing open wound</w:t>
      </w:r>
      <w:bookmarkStart w:id="38" w:name="cl_c_131"/>
      <w:bookmarkEnd w:id="38"/>
    </w:p>
    <w:p w14:paraId="61E4F190" w14:textId="77777777" w:rsidR="008952B9" w:rsidRPr="008952B9" w:rsidRDefault="008952B9" w:rsidP="008952B9">
      <w:pPr>
        <w:numPr>
          <w:ilvl w:val="2"/>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Previous chemotherapy</w:t>
      </w:r>
    </w:p>
    <w:p w14:paraId="271419CD" w14:textId="77777777" w:rsidR="008952B9" w:rsidRPr="008952B9" w:rsidRDefault="008952B9" w:rsidP="008952B9">
      <w:pPr>
        <w:numPr>
          <w:ilvl w:val="2"/>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Previous radiation therapy</w:t>
      </w:r>
    </w:p>
    <w:p w14:paraId="492E83F2" w14:textId="1B1AF6EA" w:rsidR="008952B9" w:rsidRPr="008952B9" w:rsidRDefault="008952B9" w:rsidP="008952B9">
      <w:pPr>
        <w:numPr>
          <w:ilvl w:val="2"/>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Recent surgery</w:t>
      </w:r>
      <w:bookmarkStart w:id="39" w:name="cl_c_132"/>
      <w:bookmarkEnd w:id="39"/>
    </w:p>
    <w:p w14:paraId="1888B6C7" w14:textId="28E90224" w:rsidR="008952B9" w:rsidRPr="008952B9" w:rsidRDefault="008952B9" w:rsidP="008952B9">
      <w:pPr>
        <w:numPr>
          <w:ilvl w:val="1"/>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 xml:space="preserve"> Myelosuppressive chemotherapy for </w:t>
      </w:r>
      <w:r w:rsidR="00E8768A" w:rsidRPr="008952B9">
        <w:rPr>
          <w:rFonts w:ascii="Futura" w:eastAsia="Calibri" w:hAnsi="Futura" w:cs="Calibri"/>
          <w:color w:val="000000"/>
          <w:sz w:val="20"/>
          <w:szCs w:val="20"/>
          <w:lang w:bidi="en-US"/>
        </w:rPr>
        <w:t>non-myeloid</w:t>
      </w:r>
      <w:r w:rsidRPr="008952B9">
        <w:rPr>
          <w:rFonts w:ascii="Futura" w:eastAsia="Calibri" w:hAnsi="Futura" w:cs="Calibri"/>
          <w:color w:val="000000"/>
          <w:sz w:val="20"/>
          <w:szCs w:val="20"/>
          <w:lang w:bidi="en-US"/>
        </w:rPr>
        <w:t xml:space="preserve"> malignancy (subsequent cycle) and </w:t>
      </w:r>
      <w:r w:rsidR="00E8768A" w:rsidRPr="008952B9">
        <w:rPr>
          <w:rFonts w:ascii="Futura" w:eastAsia="Calibri" w:hAnsi="Futura" w:cs="Calibri"/>
          <w:color w:val="000000"/>
          <w:sz w:val="20"/>
          <w:szCs w:val="20"/>
          <w:lang w:bidi="en-US"/>
        </w:rPr>
        <w:t>ALL</w:t>
      </w:r>
      <w:r w:rsidRPr="008952B9">
        <w:rPr>
          <w:rFonts w:ascii="Futura" w:eastAsia="Calibri" w:hAnsi="Futura" w:cs="Calibri"/>
          <w:color w:val="000000"/>
          <w:sz w:val="20"/>
          <w:szCs w:val="20"/>
          <w:lang w:bidi="en-US"/>
        </w:rPr>
        <w:t xml:space="preserve"> the following:</w:t>
      </w:r>
    </w:p>
    <w:p w14:paraId="4FD8BE4B" w14:textId="0B49D0C8" w:rsidR="008952B9" w:rsidRPr="008952B9" w:rsidRDefault="008952B9" w:rsidP="008952B9">
      <w:pPr>
        <w:numPr>
          <w:ilvl w:val="2"/>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Chemotherapy dose delay or reduction is not desirable.</w:t>
      </w:r>
      <w:bookmarkStart w:id="40" w:name="cl_c_134"/>
      <w:bookmarkEnd w:id="40"/>
      <w:r w:rsidR="00317F44" w:rsidRPr="008952B9">
        <w:rPr>
          <w:rFonts w:ascii="Futura" w:eastAsia="Calibri" w:hAnsi="Futura" w:cs="Calibri"/>
          <w:color w:val="000000"/>
          <w:sz w:val="20"/>
          <w:szCs w:val="20"/>
          <w:lang w:bidi="en-US"/>
        </w:rPr>
        <w:t xml:space="preserve"> </w:t>
      </w:r>
    </w:p>
    <w:p w14:paraId="49092075" w14:textId="77777777" w:rsidR="008952B9" w:rsidRPr="008952B9" w:rsidRDefault="008952B9" w:rsidP="008952B9">
      <w:pPr>
        <w:numPr>
          <w:ilvl w:val="2"/>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History of neutropenia, as indicated by 1 or more of the following:</w:t>
      </w:r>
    </w:p>
    <w:p w14:paraId="7E2F00D7" w14:textId="2658EE28" w:rsidR="008952B9" w:rsidRPr="008952B9" w:rsidRDefault="008952B9" w:rsidP="008952B9">
      <w:pPr>
        <w:numPr>
          <w:ilvl w:val="3"/>
          <w:numId w:val="165"/>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Febrile neutropenia with prior chemotherapy cycle</w:t>
      </w:r>
      <w:bookmarkStart w:id="41" w:name="cl_c_135"/>
      <w:bookmarkStart w:id="42" w:name="cl_c_136"/>
      <w:bookmarkEnd w:id="41"/>
      <w:bookmarkEnd w:id="42"/>
      <w:r w:rsidR="00317F44" w:rsidRPr="008952B9">
        <w:rPr>
          <w:rFonts w:ascii="Futura" w:eastAsia="Calibri" w:hAnsi="Futura" w:cs="Calibri"/>
          <w:color w:val="000000"/>
          <w:sz w:val="20"/>
          <w:szCs w:val="20"/>
          <w:lang w:bidi="en-US"/>
        </w:rPr>
        <w:t xml:space="preserve"> </w:t>
      </w:r>
    </w:p>
    <w:p w14:paraId="6C403E3A" w14:textId="77777777" w:rsidR="008952B9" w:rsidRPr="008952B9" w:rsidRDefault="008952B9" w:rsidP="008952B9">
      <w:pPr>
        <w:numPr>
          <w:ilvl w:val="3"/>
          <w:numId w:val="166"/>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Prolonged neutropenia with prior chemotherapy cycle</w:t>
      </w:r>
    </w:p>
    <w:p w14:paraId="77A0164D" w14:textId="072FC65E" w:rsidR="008952B9" w:rsidRPr="008952B9" w:rsidRDefault="008952B9" w:rsidP="008952B9">
      <w:pPr>
        <w:numPr>
          <w:ilvl w:val="1"/>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 Severe chronic neutropenia, as indicated by 1 or more of the following</w:t>
      </w:r>
      <w:bookmarkStart w:id="43" w:name="cl_c_138"/>
      <w:bookmarkEnd w:id="43"/>
      <w:r w:rsidRPr="008952B9">
        <w:rPr>
          <w:rFonts w:ascii="Futura" w:eastAsia="Calibri" w:hAnsi="Futura" w:cs="Calibri"/>
          <w:color w:val="000000"/>
          <w:sz w:val="20"/>
          <w:szCs w:val="20"/>
          <w:lang w:bidi="en-US"/>
        </w:rPr>
        <w:t>:</w:t>
      </w:r>
    </w:p>
    <w:p w14:paraId="53848314" w14:textId="77777777" w:rsidR="008952B9" w:rsidRPr="008952B9" w:rsidRDefault="008952B9" w:rsidP="008952B9">
      <w:pPr>
        <w:numPr>
          <w:ilvl w:val="2"/>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Diagnosis of congenital neutropenia confirmed</w:t>
      </w:r>
    </w:p>
    <w:p w14:paraId="1DA580E4" w14:textId="77777777" w:rsidR="008952B9" w:rsidRPr="008952B9" w:rsidRDefault="008952B9" w:rsidP="008952B9">
      <w:pPr>
        <w:numPr>
          <w:ilvl w:val="2"/>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Diagnosis of cyclic neutropenia confirmed</w:t>
      </w:r>
    </w:p>
    <w:p w14:paraId="714E7082" w14:textId="77777777" w:rsidR="008952B9" w:rsidRPr="008952B9" w:rsidRDefault="008952B9" w:rsidP="008952B9">
      <w:pPr>
        <w:numPr>
          <w:ilvl w:val="2"/>
          <w:numId w:val="164"/>
        </w:numPr>
        <w:spacing w:after="0" w:line="240" w:lineRule="auto"/>
        <w:rPr>
          <w:rFonts w:ascii="Futura" w:eastAsia="Calibri" w:hAnsi="Futura" w:cs="Calibri"/>
          <w:color w:val="000000"/>
          <w:sz w:val="20"/>
          <w:szCs w:val="20"/>
          <w:lang w:bidi="en-US"/>
        </w:rPr>
      </w:pPr>
      <w:r w:rsidRPr="008952B9">
        <w:rPr>
          <w:rFonts w:ascii="Futura" w:eastAsia="Calibri" w:hAnsi="Futura" w:cs="Calibri"/>
          <w:color w:val="000000"/>
          <w:sz w:val="20"/>
          <w:szCs w:val="20"/>
          <w:lang w:bidi="en-US"/>
        </w:rPr>
        <w:t>Diagnosis of idiopathic neutropenia confirmed</w:t>
      </w:r>
    </w:p>
    <w:p w14:paraId="5B8192B7" w14:textId="77777777" w:rsidR="00320403" w:rsidRDefault="00320403" w:rsidP="00320403">
      <w:pPr>
        <w:spacing w:after="0" w:line="240" w:lineRule="auto"/>
        <w:rPr>
          <w:rFonts w:ascii="Futura" w:eastAsia="Calibri" w:hAnsi="Futura" w:cs="Calibri"/>
          <w:b/>
          <w:bCs/>
          <w:color w:val="000000"/>
          <w:sz w:val="20"/>
          <w:szCs w:val="20"/>
          <w:lang w:bidi="en-US"/>
        </w:rPr>
      </w:pPr>
    </w:p>
    <w:p w14:paraId="769F77F6" w14:textId="77777777" w:rsidR="005B1F33" w:rsidRPr="005B1F33" w:rsidRDefault="005B1F33" w:rsidP="005B1F33">
      <w:pPr>
        <w:spacing w:after="0" w:line="240" w:lineRule="auto"/>
        <w:rPr>
          <w:rFonts w:ascii="Futura" w:eastAsia="Calibri" w:hAnsi="Futura" w:cs="Calibri"/>
          <w:color w:val="000000"/>
          <w:sz w:val="20"/>
          <w:szCs w:val="20"/>
          <w:lang w:bidi="en-US"/>
        </w:rPr>
      </w:pPr>
      <w:r w:rsidRPr="005B1F33">
        <w:rPr>
          <w:rFonts w:ascii="Futura" w:eastAsia="Calibri" w:hAnsi="Futura" w:cs="Calibri"/>
          <w:color w:val="000000"/>
          <w:sz w:val="20"/>
          <w:szCs w:val="20"/>
          <w:lang w:bidi="en-US"/>
        </w:rPr>
        <w:t>Severe neutropenia is generally defined as an absolute neutrophil count (ANC) of less than 500 cells per ml.</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Primary prophylaxis refers to administration of CSF during the first cycle of chemotherapy.</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Secondary prophylaxis refers to administration of CSF during subsequent cycles of chemotherapy.</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Administration of G-CSF for primary prophylaxis should not be used routinely in all chemotherapy patients receiving usual outpatient regimens. It should be reserved for those patients whose risk of FN is 20% or greater based upon chemotherapy regimen. In patients whose risk of developing FN is greater than or equal to 10% and less than 20% based on chemotherapy regimen, the use of primary prophylaxis should be reserved for those patients with 1 or more of the following risk factors for FN:</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1. Age greater than 65 years;</w:t>
      </w:r>
      <w:r w:rsidRPr="005B1F33">
        <w:rPr>
          <w:rFonts w:ascii="Futura" w:eastAsia="Calibri" w:hAnsi="Futura" w:cs="Calibri"/>
          <w:color w:val="000000"/>
          <w:sz w:val="20"/>
          <w:szCs w:val="20"/>
          <w:lang w:bidi="en-US"/>
        </w:rPr>
        <w:br/>
        <w:t>2. Poor performance status;</w:t>
      </w:r>
      <w:r w:rsidRPr="005B1F33">
        <w:rPr>
          <w:rFonts w:ascii="Futura" w:eastAsia="Calibri" w:hAnsi="Futura" w:cs="Calibri"/>
          <w:color w:val="000000"/>
          <w:sz w:val="20"/>
          <w:szCs w:val="20"/>
          <w:lang w:bidi="en-US"/>
        </w:rPr>
        <w:br/>
        <w:t>3. Previous episodes of FN;</w:t>
      </w:r>
      <w:r w:rsidRPr="005B1F33">
        <w:rPr>
          <w:rFonts w:ascii="Futura" w:eastAsia="Calibri" w:hAnsi="Futura" w:cs="Calibri"/>
          <w:color w:val="000000"/>
          <w:sz w:val="20"/>
          <w:szCs w:val="20"/>
          <w:lang w:bidi="en-US"/>
        </w:rPr>
        <w:br/>
        <w:t>4. History of previous chemotherapy or radiation therapy;</w:t>
      </w:r>
      <w:r w:rsidRPr="005B1F33">
        <w:rPr>
          <w:rFonts w:ascii="Futura" w:eastAsia="Calibri" w:hAnsi="Futura" w:cs="Calibri"/>
          <w:color w:val="000000"/>
          <w:sz w:val="20"/>
          <w:szCs w:val="20"/>
          <w:lang w:bidi="en-US"/>
        </w:rPr>
        <w:br/>
        <w:t>5. After completion of combined chemoradiotherapy;</w:t>
      </w:r>
      <w:r w:rsidRPr="005B1F33">
        <w:rPr>
          <w:rFonts w:ascii="Futura" w:eastAsia="Calibri" w:hAnsi="Futura" w:cs="Calibri"/>
          <w:color w:val="000000"/>
          <w:sz w:val="20"/>
          <w:szCs w:val="20"/>
          <w:lang w:bidi="en-US"/>
        </w:rPr>
        <w:br/>
        <w:t>6. Bone marrow involvement by tumor producing cytopenias;</w:t>
      </w:r>
      <w:r w:rsidRPr="005B1F33">
        <w:rPr>
          <w:rFonts w:ascii="Futura" w:eastAsia="Calibri" w:hAnsi="Futura" w:cs="Calibri"/>
          <w:color w:val="000000"/>
          <w:sz w:val="20"/>
          <w:szCs w:val="20"/>
          <w:lang w:bidi="en-US"/>
        </w:rPr>
        <w:br/>
        <w:t>7. Preexisting neutropenia;</w:t>
      </w:r>
      <w:r w:rsidRPr="005B1F33">
        <w:rPr>
          <w:rFonts w:ascii="Futura" w:eastAsia="Calibri" w:hAnsi="Futura" w:cs="Calibri"/>
          <w:color w:val="000000"/>
          <w:sz w:val="20"/>
          <w:szCs w:val="20"/>
          <w:lang w:bidi="en-US"/>
        </w:rPr>
        <w:br/>
        <w:t>8. Poor nutritional status;</w:t>
      </w:r>
      <w:r w:rsidRPr="005B1F33">
        <w:rPr>
          <w:rFonts w:ascii="Futura" w:eastAsia="Calibri" w:hAnsi="Futura" w:cs="Calibri"/>
          <w:color w:val="000000"/>
          <w:sz w:val="20"/>
          <w:szCs w:val="20"/>
          <w:lang w:bidi="en-US"/>
        </w:rPr>
        <w:br/>
        <w:t>9. Poor renal function;</w:t>
      </w:r>
      <w:r w:rsidRPr="005B1F33">
        <w:rPr>
          <w:rFonts w:ascii="Futura" w:eastAsia="Calibri" w:hAnsi="Futura" w:cs="Calibri"/>
          <w:color w:val="000000"/>
          <w:sz w:val="20"/>
          <w:szCs w:val="20"/>
          <w:lang w:bidi="en-US"/>
        </w:rPr>
        <w:br/>
        <w:t>10. Liver dysfunction (i.e., elevated bilirubin);</w:t>
      </w:r>
      <w:r w:rsidRPr="005B1F33">
        <w:rPr>
          <w:rFonts w:ascii="Futura" w:eastAsia="Calibri" w:hAnsi="Futura" w:cs="Calibri"/>
          <w:color w:val="000000"/>
          <w:sz w:val="20"/>
          <w:szCs w:val="20"/>
          <w:lang w:bidi="en-US"/>
        </w:rPr>
        <w:br/>
        <w:t>11. The presence of open wounds or active infections;</w:t>
      </w:r>
      <w:r w:rsidRPr="005B1F33">
        <w:rPr>
          <w:rFonts w:ascii="Futura" w:eastAsia="Calibri" w:hAnsi="Futura" w:cs="Calibri"/>
          <w:color w:val="000000"/>
          <w:sz w:val="20"/>
          <w:szCs w:val="20"/>
          <w:lang w:bidi="en-US"/>
        </w:rPr>
        <w:br/>
        <w:t>12. Recent surgery (generally within the past 12 weeks);</w:t>
      </w:r>
      <w:r w:rsidRPr="005B1F33">
        <w:rPr>
          <w:rFonts w:ascii="Futura" w:eastAsia="Calibri" w:hAnsi="Futura" w:cs="Calibri"/>
          <w:color w:val="000000"/>
          <w:sz w:val="20"/>
          <w:szCs w:val="20"/>
          <w:lang w:bidi="en-US"/>
        </w:rPr>
        <w:br/>
        <w:t>13. Advanced cancer; or</w:t>
      </w:r>
      <w:r w:rsidRPr="005B1F33">
        <w:rPr>
          <w:rFonts w:ascii="Futura" w:eastAsia="Calibri" w:hAnsi="Futura" w:cs="Calibri"/>
          <w:color w:val="000000"/>
          <w:sz w:val="20"/>
          <w:szCs w:val="20"/>
          <w:lang w:bidi="en-US"/>
        </w:rPr>
        <w:br/>
        <w:t>14. Other serious comorbidities.</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Secondary prophylaxis is considered reasonable and necessary after documented FN from a prior chemotherapy cycle (for which primary prophylaxis was not received) in which a reduction in dosage of the chemotherapeutic agents or a delay in treatment may compromise disease-free or overall survival or treatment outcome.</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II. FDA Indications</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lastRenderedPageBreak/>
        <w:br/>
        <w:t>A. G-CSF pegfilgrastim (Neulasta®) and the biosimilar </w:t>
      </w:r>
      <w:hyperlink r:id="rId12" w:tgtFrame="_blank" w:history="1">
        <w:r w:rsidRPr="005B1F33">
          <w:rPr>
            <w:color w:val="000000"/>
            <w:lang w:bidi="en-US"/>
          </w:rPr>
          <w:t>Fulphila® </w:t>
        </w:r>
      </w:hyperlink>
      <w:r w:rsidRPr="005B1F33">
        <w:rPr>
          <w:rFonts w:ascii="Futura" w:eastAsia="Calibri" w:hAnsi="Futura" w:cs="Calibri"/>
          <w:color w:val="000000"/>
          <w:sz w:val="20"/>
          <w:szCs w:val="20"/>
          <w:lang w:bidi="en-US"/>
        </w:rPr>
        <w:t> are indicated for the following:</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 Patients with Cancer Receiving Myelosuppressive Chemotherapy and/or Immunotherapy: to decrease the incidence of infection, as manifested by FN, in patients with non-myeloid malignancies receiving myelosuppressive anti-cancer drugs associated with a clinically significant incidence of severe FN.</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 Patients with Hematopoietic Subsyndrome of Acute Radiation Syndrome: to increase survival in patients acutely exposed to myelosuppressive doses of radiation</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Neulasta® and biosimilars are not indicated for the mobilization of peripheral blood progenitor cells for hematopoietic stem cell transplantation.</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B. G-CSF tbo-filgrastim (Granix®) is indicated for the following:</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 Patients with Cancer Receiving Myelosuppressive Chemotherapy and/or Immunotherapy: to reduce the duration of severe neutropenia in adult and pediatric patients 1 month and older with non-myeloid malignancies receiving myelosuppressive anticancer drugs associated with a clinically significant incidence of FN.</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C. G-CSF filgrastim (Neupogen®) is indicated for the following:</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 Patients with Cancer Receiving Myelosuppressive Chemotherapy and/or Immunotherapy: to decrease the incidence of infection, as manifested by FN, in patients with non-myeloid malignancies receiving myelosuppressive anti-cancer drugs associated with a clinically significant incidence of severe FN.</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 Patients with Acute Myeloid Leukemia Receiving Induction and/or Consolidation Chemotherapy: to reduce the time to neutrophil recovery and the duration of fever, following induction or consolidation chemotherapy treatment of patients with acute myeloid leukemia (AML).</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 Patients with Cancer Undergoing Bone Marrow Transplantation: to reduce the duration of neutropenia and neutropenia-related clinical sequelae (e.g., FN) in patients with non-myeloid malignancies undergoing myeloablative chemotherapy followed by bone marrow transplantation.</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 Patients Undergoing Autologous Peripheral Blood Progenitor Cell Collection and Therapy: for the mobilization of autologous hematopoietic progenitor cells into the peripheral blood for collection by leukapheresis.</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 Patients with Severe Chronic Neutropenia: for chronic administration to reduce the incidence and duration of sequelae of neutropenia (e.g., fever, infections, oropharyngeal ulcers) in symptomatic patients with congenital neutropenia, cyclic neutropenia, or idiopathic neutropenia.</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 Patients with Hematopoietic Syndrome of Acute Radiation Syndrome: to increase survival in patients acutely exposed to myelosuppressive doses of radiation.</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D. G-CSF filgrastim-sndz biosimilar (Zarxio®) is classified as a biosimilar and is approved for all indications included in its reference product’s (Neupogen®) label (see above listed indications for Neupogen®).</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lastRenderedPageBreak/>
        <w:t>E. GM-CSF sargramostim (Leukine®) differs from the above listed products in that it is a recombinant human granulocyte macrophage colony stimulating factor. GM-CSF is a hematopoietic growth factor which stimulates proliferation and differentiation of hematopoietic progenitor cells.</w:t>
      </w:r>
    </w:p>
    <w:p w14:paraId="5ECA17E5" w14:textId="323BA86B" w:rsidR="005B1F33" w:rsidRPr="005B1F33" w:rsidRDefault="005B1F33" w:rsidP="005B1F33">
      <w:pPr>
        <w:spacing w:after="0" w:line="240" w:lineRule="auto"/>
        <w:rPr>
          <w:rFonts w:ascii="Futura" w:eastAsia="Calibri" w:hAnsi="Futura" w:cs="Calibri"/>
          <w:color w:val="000000"/>
          <w:sz w:val="20"/>
          <w:szCs w:val="20"/>
          <w:lang w:bidi="en-US"/>
        </w:rPr>
      </w:pPr>
      <w:r w:rsidRPr="005B1F33">
        <w:rPr>
          <w:rFonts w:ascii="Futura" w:eastAsia="Calibri" w:hAnsi="Futura" w:cs="Calibri"/>
          <w:color w:val="000000"/>
          <w:sz w:val="20"/>
          <w:szCs w:val="20"/>
          <w:lang w:bidi="en-US"/>
        </w:rPr>
        <w:t>Sargramostim is indicated for the following:</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 Following Induction Chemotherapy in Acute Myelogenous Leukemia: following induction chemotherapy in older adult patients with AML to shorten time to neutrophil recovery and to reduce the incidence of severe and life-threatening infections and infections resulting in death. The safety and efficacy of sargramostim have not been assessed in patients with AML under 55 years of age.</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 Use in Mobilization and Following Transplantation of Autologous Peripheral Blood Progenitor Cells: for the mobilization of hematopoietic progenitor cells into peripheral blood for collection by leukapheresis. Mobilization allows for the collection of increased numbers of progenitor cells capable of engraftment as compared with collection without mobilization. After myeloablative chemotherapy, the transplantation of an increased number of progenitor cells can lead to more rapid engraftment, which may result in a decreased need for supportive care. Myeloid reconstitution is further accelerated by administration of sargramostim following peripheral blood progenitor cell transplantation.</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 Use in Myeloid Reconstitution After Allogeneic Bone Marrow Transplantation: for acceleration of myeloid recovery in patients undergoing allogeneic bone marrow transplantation (BMT) from human leukocyte antigen (HLA)-matched related donors. Sargramostim has been found to be safe and effective in accelerating myeloid engraftment, reducing the incidence of bacteremia and other culture positive infections, and shortening the median duration of hospitalization.</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 Use in Bone Marrow Transplantation Failure or Engraftment Delay: in patients who have undergone allogeneic or autologous BMT in whom engraftment is delayed or has failed. Sargramostim has been found to be safe and effective in prolonging survival of patients who are experiencing graft failure or engraftment delay, in the presence or absence of infection, following autologous or allogeneic BMT. Survival benefit may be relatively greater in those patients who demonstrate 1 or more of the following characteristics: autologous BMT failure or engraftment delay, no previous total body irradiation, malignancy other than leukemia or a multiple organ failure (MOF) score = 2. Hematologic response to sargramostim can be detected by complete blood count (CBC) with differential performed twice per week.</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III. Off-Label Indications</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In addition to the FDA-approved uses, coverage will be extended when any of the drugs- Filgrastim (Neupogen®) or Filgrastim-sndz biosimilar (Zarxio®), Pegfilgrastim (Neulasta®), Sargramostim (GM-CSF, Leukine®), or Tbo-Filgrastim (Granix®) and biosimilars are used as adjunctive treatment when any of the conditions listed below are present.</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Any of the following conditions may be an indication for adjunctive treatment:</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1. Expected prolonged (greater than 10 days) and profound (less than 0.1 x 109/L) neutropenia;</w:t>
      </w:r>
      <w:r w:rsidRPr="005B1F33">
        <w:rPr>
          <w:rFonts w:ascii="Futura" w:eastAsia="Calibri" w:hAnsi="Futura" w:cs="Calibri"/>
          <w:color w:val="000000"/>
          <w:sz w:val="20"/>
          <w:szCs w:val="20"/>
          <w:lang w:bidi="en-US"/>
        </w:rPr>
        <w:br/>
        <w:t>2. Age greater than 65 years;</w:t>
      </w:r>
      <w:r w:rsidRPr="005B1F33">
        <w:rPr>
          <w:rFonts w:ascii="Futura" w:eastAsia="Calibri" w:hAnsi="Futura" w:cs="Calibri"/>
          <w:color w:val="000000"/>
          <w:sz w:val="20"/>
          <w:szCs w:val="20"/>
          <w:lang w:bidi="en-US"/>
        </w:rPr>
        <w:br/>
        <w:t>3. Uncontrolled primary disease;</w:t>
      </w:r>
      <w:r w:rsidRPr="005B1F33">
        <w:rPr>
          <w:rFonts w:ascii="Futura" w:eastAsia="Calibri" w:hAnsi="Futura" w:cs="Calibri"/>
          <w:color w:val="000000"/>
          <w:sz w:val="20"/>
          <w:szCs w:val="20"/>
          <w:lang w:bidi="en-US"/>
        </w:rPr>
        <w:br/>
        <w:t>4. Pneumonia;</w:t>
      </w:r>
      <w:r w:rsidRPr="005B1F33">
        <w:rPr>
          <w:rFonts w:ascii="Futura" w:eastAsia="Calibri" w:hAnsi="Futura" w:cs="Calibri"/>
          <w:color w:val="000000"/>
          <w:sz w:val="20"/>
          <w:szCs w:val="20"/>
          <w:lang w:bidi="en-US"/>
        </w:rPr>
        <w:br/>
        <w:t>5. Hypotension and multi-organ dysfunction (sepsis syndrome);</w:t>
      </w:r>
      <w:r w:rsidRPr="005B1F33">
        <w:rPr>
          <w:rFonts w:ascii="Futura" w:eastAsia="Calibri" w:hAnsi="Futura" w:cs="Calibri"/>
          <w:color w:val="000000"/>
          <w:sz w:val="20"/>
          <w:szCs w:val="20"/>
          <w:lang w:bidi="en-US"/>
        </w:rPr>
        <w:br/>
        <w:t>6. Invasive fungal infection; or</w:t>
      </w:r>
      <w:r w:rsidRPr="005B1F33">
        <w:rPr>
          <w:rFonts w:ascii="Futura" w:eastAsia="Calibri" w:hAnsi="Futura" w:cs="Calibri"/>
          <w:color w:val="000000"/>
          <w:sz w:val="20"/>
          <w:szCs w:val="20"/>
          <w:lang w:bidi="en-US"/>
        </w:rPr>
        <w:br/>
        <w:t>7. Hospitalized at the time of the development of fever.</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lastRenderedPageBreak/>
        <w:t>Filgrastim (Neupogen®) or Filgrastim-sndz biosimilar (Zarxio®):</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A. In an individual with acute lymphocytic leukemia (ALL) after completion of the first few days of initial induction chemotherapy or first post-remission course of chemotherapy; or</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B. Use in adult individuals with AML shortly after the completion of induction or repeat induction chemotherapy, or after the completion of consolidation chemotherapy for AML; or</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C. Treatment of severe neutropenia in individuals with hairy cell leukemia; or</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D. In an individual with myelodysplastic syndromes (MDS) with severe neutropenia (ANC less than or equal to 500 mm3) or experiencing recurrent infection; or</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E. In an individual receiving dose-dense therapy (treatment given more frequently, such as every 2 weeks instead of every 3 weeks) for adjuvant treatment of breast cancer, or other malignancies for which dose-dense chemotherapy is an accepted treatment option; or</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F. Chronic administration to reduce the incidence and duration of sequelae of neutropenia (e.g., fever, infections, oropharyngeal ulcers) in symptomatic individuals with congenital neutropenia, cyclic neutropenia, or idiopathic neutropenia; or</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G. Treatment of (non-chemotherapy) drug-induced neutropenia; or</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H. Treatment of low neutrophil counts in individuals with glycogen storage disease type 1b; or</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I. Treatment for neutropenia associated with human immunodeficiency virus (HIV) infection and antiretroviral therapy; or</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J. In individuals receiving radiation therapy in the absence of chemotherapy if prolonged delays secondary to neutropenia are expected; or</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K. After a hematopoietic progenitor stem cell transplant (HPCT/HSCT) for the following indications:</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 To promote myeloid reconstitution; or</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 When engraftment is delayed or has failed; or</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 To mobilize progenitor cells into peripheral blood for collection by leukapheresis, as an adjunct to peripheral blood/hematopoietic stem cell transplantation (PBSCT/PHSCT); or</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 Use as an alternate or adjunct to donor leukocyte infusions (DLI) in individuals with leukemic relapse after an allogeneic hematopoietic stem cell transplant.</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Pegfilgrastim (Neulasta®) and Biosimilars:</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A. In an individual with ALL after completion of the first few days of initial induction chemotherapy or first post-remission course of chemotherapy; or</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B. In an individual with MDS with severe neutropenia (ANC less than or equal to 500 mm3) or experiencing recurrent infection; or</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 xml:space="preserve">C. In an individual receiving dose-dense therapy (treatment given more frequently, such as every 2 weeks instead of every 3 weeks) for adjuvant treatment of breast cancer, or other </w:t>
      </w:r>
      <w:r w:rsidRPr="005B1F33">
        <w:rPr>
          <w:rFonts w:ascii="Futura" w:eastAsia="Calibri" w:hAnsi="Futura" w:cs="Calibri"/>
          <w:color w:val="000000"/>
          <w:sz w:val="20"/>
          <w:szCs w:val="20"/>
          <w:lang w:bidi="en-US"/>
        </w:rPr>
        <w:lastRenderedPageBreak/>
        <w:t>malignancies for which dose-dense chemotherapy is an accepted treatment option. If a patient is on a dose-dense 14-day chemotherapy cycle, it would be acceptable to administer Neulasta® outside of the 14-day before and 24-hour after rule for chemotherapy. Neulasta® would typically be administered on the second day of a 14–day dose-dense chemotherapy cycle. The medical record should clearly indicate that the patient is on a 14-day dose-dense chemotherapy cycle regimen; or</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D. After HPCT/HSCT for the following indications:</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 To promote myeloid reconstitution; or</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 When engraftment is delayed or has failed.</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Sargramostim (GM-CSF, Leukine®):</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A. In an individual receiving dose-dense therapy (treatment given more frequently, such as every 2 weeks instead of every 3 weeks) for adjuvant treatment of breast cancer; or</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B. In an individual with ALL after completion of the first few days of initial induction chemotherapy or first post-remission course of chemotherapy; or</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C. For administration shortly after the completion of induction or repeat induction chemotherapy of AML for individuals over 55 years of age; or</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D. In an individual with MDS with severe neutropenia (ANC less than or equal to 500 mm3) or experiencing recurrent infection; or</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E. In individuals receiving radiation therapy in the absence of chemotherapy if prolonged delays secondary to neutropenia are expected; or</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F. After accidental or intentional total body radiation of myelosuppressive doses (greater than 2 Grays [Gy]) (such as hematopoietic syndrome of acute radiation syndrome); or</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G. After HPCT/HSCT for the following indications:</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 To promote myeloid reconstitution; or</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 When engraftment is delayed or has failed; or</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 To mobilize progenitor cells into peripheral blood for collection by leukapheresis, as an adjunct to PBSCT/PHSCT; or</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IV. Uses for which Efficacy and Safety Have Not Been Established</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 Administration of G-CSF in cancer patients in order to increase chemotherapy dose-intensity except as noted above.</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 Routine, continuous use of G-CSF in patients with MDS or Felty's syndrome without infections.</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 Given the concerns for adverse events, avoidance of G-CSFs in patients receiving concomitant chemoradiotherapy for either head and neck cancer or lung cancer may be warranted.</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 Chemosensitization of myeloid leukemias.</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lastRenderedPageBreak/>
        <w:br/>
        <w:t>• Continued use if no response is seen within 28-42 days (individuals who have failed to respond within this time frame are considered non-responders).</w:t>
      </w:r>
      <w:r w:rsidRPr="005B1F33">
        <w:rPr>
          <w:rFonts w:ascii="Futura" w:eastAsia="Calibri" w:hAnsi="Futura" w:cs="Calibri"/>
          <w:color w:val="000000"/>
          <w:sz w:val="20"/>
          <w:szCs w:val="20"/>
          <w:lang w:bidi="en-US"/>
        </w:rPr>
        <w:br/>
      </w:r>
      <w:r w:rsidRPr="005B1F33">
        <w:rPr>
          <w:rFonts w:ascii="Futura" w:eastAsia="Calibri" w:hAnsi="Futura" w:cs="Calibri"/>
          <w:color w:val="000000"/>
          <w:sz w:val="20"/>
          <w:szCs w:val="20"/>
          <w:lang w:bidi="en-US"/>
        </w:rPr>
        <w:br/>
        <w:t>• Administration of G-CSF in patients with chronic aplastic anemia. Growth factors, as single agents, have not been shown to be effective in severe aplastic anemia. Their use in combination with other agents such as a cyclosporine and/or antilymphocyte globulin (ALG) is still investigational.</w:t>
      </w:r>
    </w:p>
    <w:p w14:paraId="1CEC3BC7" w14:textId="77777777" w:rsidR="009770C8" w:rsidRDefault="009770C8" w:rsidP="00320403">
      <w:pPr>
        <w:spacing w:after="0" w:line="240" w:lineRule="auto"/>
        <w:rPr>
          <w:rFonts w:ascii="Futura" w:eastAsia="Calibri" w:hAnsi="Futura" w:cs="Calibri"/>
          <w:b/>
          <w:bCs/>
          <w:color w:val="000000"/>
          <w:sz w:val="20"/>
          <w:szCs w:val="20"/>
          <w:lang w:bidi="en-US"/>
        </w:rPr>
      </w:pPr>
    </w:p>
    <w:p w14:paraId="08068DBB" w14:textId="6B28279F" w:rsidR="00542D9D" w:rsidRPr="00C96407" w:rsidRDefault="009C2524" w:rsidP="00320403">
      <w:pPr>
        <w:spacing w:after="0" w:line="240" w:lineRule="auto"/>
        <w:rPr>
          <w:rFonts w:ascii="Futura" w:hAnsi="Futura"/>
          <w:sz w:val="24"/>
          <w:szCs w:val="24"/>
        </w:rPr>
      </w:pPr>
      <w:r w:rsidRPr="00C96407">
        <w:rPr>
          <w:rFonts w:ascii="Futura" w:hAnsi="Futura"/>
          <w:b/>
          <w:bCs/>
          <w:sz w:val="24"/>
          <w:szCs w:val="24"/>
        </w:rPr>
        <w:t>I</w:t>
      </w:r>
      <w:r w:rsidR="00DC1B0C" w:rsidRPr="00C96407">
        <w:rPr>
          <w:rFonts w:ascii="Futura" w:hAnsi="Futura"/>
          <w:b/>
          <w:bCs/>
          <w:sz w:val="24"/>
          <w:szCs w:val="24"/>
        </w:rPr>
        <w:t>nitial authorization</w:t>
      </w:r>
      <w:r w:rsidR="00DC1B0C" w:rsidRPr="00C96407">
        <w:rPr>
          <w:rFonts w:ascii="Futura" w:hAnsi="Futura"/>
          <w:sz w:val="24"/>
          <w:szCs w:val="24"/>
        </w:rPr>
        <w:t xml:space="preserve">: Length requested, </w:t>
      </w:r>
      <w:r w:rsidR="00B8376A" w:rsidRPr="00C96407">
        <w:rPr>
          <w:rFonts w:ascii="Futura" w:hAnsi="Futura"/>
          <w:sz w:val="24"/>
          <w:szCs w:val="24"/>
        </w:rPr>
        <w:t>length specified in the indication above (if applicable), or 12 months, whichever is shortest</w:t>
      </w:r>
    </w:p>
    <w:p w14:paraId="4C701B58" w14:textId="77777777" w:rsidR="00B8376A" w:rsidRPr="00C96407" w:rsidRDefault="00B8376A" w:rsidP="00320403">
      <w:pPr>
        <w:spacing w:after="0" w:line="240" w:lineRule="auto"/>
        <w:rPr>
          <w:rFonts w:ascii="Futura" w:hAnsi="Futura"/>
          <w:sz w:val="24"/>
          <w:szCs w:val="24"/>
        </w:rPr>
      </w:pPr>
    </w:p>
    <w:p w14:paraId="40EDAC36" w14:textId="5163999F" w:rsidR="00B8376A" w:rsidRPr="00C96407" w:rsidRDefault="00B8376A" w:rsidP="00320403">
      <w:pPr>
        <w:spacing w:after="0" w:line="240" w:lineRule="auto"/>
        <w:rPr>
          <w:rFonts w:ascii="Futura" w:hAnsi="Futura"/>
          <w:sz w:val="24"/>
          <w:szCs w:val="24"/>
        </w:rPr>
      </w:pPr>
      <w:r w:rsidRPr="00C96407">
        <w:rPr>
          <w:rFonts w:ascii="Futura" w:hAnsi="Futura"/>
          <w:b/>
          <w:bCs/>
          <w:sz w:val="24"/>
          <w:szCs w:val="24"/>
        </w:rPr>
        <w:t>Reauthorization</w:t>
      </w:r>
      <w:r w:rsidRPr="00C96407">
        <w:rPr>
          <w:rFonts w:ascii="Futura" w:hAnsi="Futura"/>
          <w:sz w:val="24"/>
          <w:szCs w:val="24"/>
        </w:rPr>
        <w:t xml:space="preserve">: </w:t>
      </w:r>
      <w:r w:rsidR="00C96407" w:rsidRPr="00C96407">
        <w:rPr>
          <w:rFonts w:ascii="Futura" w:hAnsi="Futura"/>
          <w:sz w:val="24"/>
          <w:szCs w:val="24"/>
        </w:rPr>
        <w:t>Length requested, length specified in the indication above (if applicable), or 12 months, whichever is shortest</w:t>
      </w:r>
    </w:p>
    <w:p w14:paraId="0323F364" w14:textId="77777777" w:rsidR="00C96407" w:rsidRDefault="00C96407" w:rsidP="00320403">
      <w:pPr>
        <w:spacing w:after="0" w:line="240" w:lineRule="auto"/>
        <w:rPr>
          <w:rFonts w:ascii="Futura" w:hAnsi="Futura"/>
          <w:b/>
          <w:bCs/>
          <w:color w:val="00AEDB"/>
          <w:sz w:val="24"/>
          <w:szCs w:val="24"/>
        </w:rPr>
      </w:pPr>
    </w:p>
    <w:p w14:paraId="6080660B" w14:textId="062258A2" w:rsidR="00320403" w:rsidRDefault="00CD2097" w:rsidP="00320403">
      <w:pPr>
        <w:spacing w:after="0" w:line="240" w:lineRule="auto"/>
        <w:rPr>
          <w:rFonts w:ascii="Futura" w:hAnsi="Futura"/>
          <w:b/>
          <w:bCs/>
          <w:color w:val="00AEDB"/>
          <w:sz w:val="24"/>
          <w:szCs w:val="24"/>
        </w:rPr>
      </w:pPr>
      <w:r>
        <w:rPr>
          <w:rFonts w:ascii="Futura" w:hAnsi="Futura"/>
          <w:b/>
          <w:bCs/>
          <w:color w:val="00AEDB"/>
          <w:sz w:val="24"/>
          <w:szCs w:val="24"/>
        </w:rPr>
        <w:t>Exception Criteria</w:t>
      </w:r>
      <w:r w:rsidR="00320403">
        <w:rPr>
          <w:rFonts w:ascii="Futura" w:hAnsi="Futura"/>
          <w:b/>
          <w:bCs/>
          <w:color w:val="00AEDB"/>
          <w:sz w:val="24"/>
          <w:szCs w:val="24"/>
        </w:rPr>
        <w:t>:</w:t>
      </w:r>
    </w:p>
    <w:p w14:paraId="58F1F639" w14:textId="77777777" w:rsidR="00C3149B" w:rsidRDefault="00C3149B" w:rsidP="00320403">
      <w:pPr>
        <w:spacing w:after="0" w:line="240" w:lineRule="auto"/>
        <w:rPr>
          <w:rFonts w:ascii="Futura" w:hAnsi="Futura"/>
          <w:b/>
          <w:bCs/>
          <w:color w:val="00AEDB"/>
          <w:sz w:val="24"/>
          <w:szCs w:val="24"/>
        </w:rPr>
      </w:pPr>
    </w:p>
    <w:p w14:paraId="11702901" w14:textId="0DC5A27F" w:rsidR="005C3DC3" w:rsidRDefault="00F95A1F" w:rsidP="00F41B3A">
      <w:pPr>
        <w:pStyle w:val="ListParagraph"/>
        <w:numPr>
          <w:ilvl w:val="0"/>
          <w:numId w:val="3"/>
        </w:numPr>
        <w:spacing w:after="0" w:line="240" w:lineRule="auto"/>
        <w:rPr>
          <w:rFonts w:ascii="Futura" w:hAnsi="Futura"/>
          <w:sz w:val="24"/>
          <w:szCs w:val="24"/>
        </w:rPr>
      </w:pPr>
      <w:r>
        <w:rPr>
          <w:rFonts w:ascii="Futura" w:hAnsi="Futura"/>
          <w:sz w:val="24"/>
          <w:szCs w:val="24"/>
        </w:rPr>
        <w:t>Exception</w:t>
      </w:r>
      <w:r w:rsidR="00705F98">
        <w:rPr>
          <w:rFonts w:ascii="Futura" w:hAnsi="Futura"/>
          <w:sz w:val="24"/>
          <w:szCs w:val="24"/>
        </w:rPr>
        <w:t xml:space="preserve">s may need to be reviewed on multiple levels depending on the agent requested: </w:t>
      </w:r>
      <w:r w:rsidR="006C2777">
        <w:rPr>
          <w:rFonts w:ascii="Futura" w:hAnsi="Futura"/>
          <w:sz w:val="24"/>
          <w:szCs w:val="24"/>
        </w:rPr>
        <w:t xml:space="preserve">documentation of inadequate response, contraindication, adverse event or otherwise must be demonstrated for a </w:t>
      </w:r>
      <w:r w:rsidR="00997735">
        <w:rPr>
          <w:rFonts w:ascii="Futura" w:hAnsi="Futura"/>
          <w:sz w:val="24"/>
          <w:szCs w:val="24"/>
        </w:rPr>
        <w:t>preferred</w:t>
      </w:r>
      <w:r w:rsidR="006C2777">
        <w:rPr>
          <w:rFonts w:ascii="Futura" w:hAnsi="Futura"/>
          <w:sz w:val="24"/>
          <w:szCs w:val="24"/>
        </w:rPr>
        <w:t xml:space="preserve"> agent if request</w:t>
      </w:r>
      <w:r w:rsidR="00997735">
        <w:rPr>
          <w:rFonts w:ascii="Futura" w:hAnsi="Futura"/>
          <w:sz w:val="24"/>
          <w:szCs w:val="24"/>
        </w:rPr>
        <w:t xml:space="preserve">ing a secondary agent, and for </w:t>
      </w:r>
      <w:r w:rsidR="00AB6317">
        <w:rPr>
          <w:rFonts w:ascii="Futura" w:hAnsi="Futura"/>
          <w:sz w:val="24"/>
          <w:szCs w:val="24"/>
        </w:rPr>
        <w:t>preferred</w:t>
      </w:r>
      <w:r w:rsidR="00997735">
        <w:rPr>
          <w:rFonts w:ascii="Futura" w:hAnsi="Futura"/>
          <w:sz w:val="24"/>
          <w:szCs w:val="24"/>
        </w:rPr>
        <w:t xml:space="preserve"> and second</w:t>
      </w:r>
      <w:r w:rsidR="00AB6317">
        <w:rPr>
          <w:rFonts w:ascii="Futura" w:hAnsi="Futura"/>
          <w:sz w:val="24"/>
          <w:szCs w:val="24"/>
        </w:rPr>
        <w:t>ary agents if requesting a tertiary agent.</w:t>
      </w:r>
    </w:p>
    <w:p w14:paraId="6111E178" w14:textId="7216B974" w:rsidR="0072503A" w:rsidRDefault="00002541" w:rsidP="00F41B3A">
      <w:pPr>
        <w:pStyle w:val="ListParagraph"/>
        <w:numPr>
          <w:ilvl w:val="0"/>
          <w:numId w:val="3"/>
        </w:numPr>
        <w:spacing w:after="0" w:line="240" w:lineRule="auto"/>
        <w:rPr>
          <w:rFonts w:ascii="Futura" w:hAnsi="Futura"/>
          <w:sz w:val="24"/>
          <w:szCs w:val="24"/>
        </w:rPr>
      </w:pPr>
      <w:r>
        <w:rPr>
          <w:rFonts w:ascii="Futura" w:hAnsi="Futura"/>
          <w:sz w:val="24"/>
          <w:szCs w:val="24"/>
        </w:rPr>
        <w:t xml:space="preserve">Coverage for a secondary or tertiary agent will be considered if </w:t>
      </w:r>
      <w:r w:rsidR="00EF0772">
        <w:rPr>
          <w:rFonts w:ascii="Futura" w:hAnsi="Futura"/>
          <w:sz w:val="24"/>
          <w:szCs w:val="24"/>
        </w:rPr>
        <w:t xml:space="preserve">there is documentation of a continuation of therapy </w:t>
      </w:r>
      <w:r w:rsidR="0072503A">
        <w:rPr>
          <w:rFonts w:ascii="Futura" w:hAnsi="Futura"/>
          <w:sz w:val="24"/>
          <w:szCs w:val="24"/>
        </w:rPr>
        <w:t xml:space="preserve">within the past </w:t>
      </w:r>
      <w:r w:rsidR="00976A51">
        <w:rPr>
          <w:rFonts w:ascii="Futura" w:hAnsi="Futura"/>
          <w:sz w:val="24"/>
          <w:szCs w:val="24"/>
        </w:rPr>
        <w:t>365</w:t>
      </w:r>
      <w:r w:rsidR="0072503A">
        <w:rPr>
          <w:rFonts w:ascii="Futura" w:hAnsi="Futura"/>
          <w:sz w:val="24"/>
          <w:szCs w:val="24"/>
        </w:rPr>
        <w:t xml:space="preserve"> days (if new) or if it is a reauthorization request.</w:t>
      </w:r>
    </w:p>
    <w:p w14:paraId="2CB2D8D3" w14:textId="03E2CAA9" w:rsidR="00856D17" w:rsidRDefault="00856D17" w:rsidP="00F41B3A">
      <w:pPr>
        <w:pStyle w:val="ListParagraph"/>
        <w:numPr>
          <w:ilvl w:val="0"/>
          <w:numId w:val="3"/>
        </w:numPr>
        <w:spacing w:after="0" w:line="240" w:lineRule="auto"/>
        <w:rPr>
          <w:rFonts w:ascii="Futura" w:hAnsi="Futura"/>
          <w:sz w:val="24"/>
          <w:szCs w:val="24"/>
        </w:rPr>
      </w:pPr>
      <w:r>
        <w:rPr>
          <w:rFonts w:ascii="Futura" w:hAnsi="Futura"/>
          <w:sz w:val="24"/>
          <w:szCs w:val="24"/>
        </w:rPr>
        <w:t xml:space="preserve">In either of the above situations, the product </w:t>
      </w:r>
      <w:r w:rsidR="009A5611">
        <w:rPr>
          <w:rFonts w:ascii="Futura" w:hAnsi="Futura"/>
          <w:sz w:val="24"/>
          <w:szCs w:val="24"/>
        </w:rPr>
        <w:t xml:space="preserve">being used cannot be based on </w:t>
      </w:r>
      <w:r w:rsidR="00437253">
        <w:rPr>
          <w:rFonts w:ascii="Futura" w:hAnsi="Futura"/>
          <w:sz w:val="24"/>
          <w:szCs w:val="24"/>
        </w:rPr>
        <w:t>the use</w:t>
      </w:r>
      <w:r w:rsidR="009A5611">
        <w:rPr>
          <w:rFonts w:ascii="Futura" w:hAnsi="Futura"/>
          <w:sz w:val="24"/>
          <w:szCs w:val="24"/>
        </w:rPr>
        <w:t xml:space="preserve"> of samples or products provided through manufacturer patient assistance programs.</w:t>
      </w:r>
    </w:p>
    <w:p w14:paraId="27FC0E9F" w14:textId="7EAF514C" w:rsidR="00742920" w:rsidRPr="00856D17" w:rsidRDefault="00742920" w:rsidP="00F41B3A">
      <w:pPr>
        <w:pStyle w:val="ListParagraph"/>
        <w:numPr>
          <w:ilvl w:val="0"/>
          <w:numId w:val="3"/>
        </w:numPr>
        <w:spacing w:after="0" w:line="240" w:lineRule="auto"/>
        <w:rPr>
          <w:rFonts w:ascii="Futura" w:hAnsi="Futura"/>
          <w:sz w:val="24"/>
          <w:szCs w:val="24"/>
        </w:rPr>
      </w:pPr>
      <w:r>
        <w:rPr>
          <w:rFonts w:ascii="Futura" w:hAnsi="Futura"/>
          <w:sz w:val="24"/>
          <w:szCs w:val="24"/>
        </w:rPr>
        <w:t xml:space="preserve">The PBM is responsible for </w:t>
      </w:r>
      <w:r w:rsidR="006532CF">
        <w:rPr>
          <w:rFonts w:ascii="Futura" w:hAnsi="Futura"/>
          <w:sz w:val="24"/>
          <w:szCs w:val="24"/>
        </w:rPr>
        <w:t xml:space="preserve">processing Part D prior authorizations, redeterminations, exceptions and otherwise.  Please consult the most current formulary and prior authorization criteria </w:t>
      </w:r>
      <w:r w:rsidR="00292E89">
        <w:rPr>
          <w:rFonts w:ascii="Futura" w:hAnsi="Futura"/>
          <w:sz w:val="24"/>
          <w:szCs w:val="24"/>
        </w:rPr>
        <w:t>for content.</w:t>
      </w:r>
    </w:p>
    <w:p w14:paraId="55CF9D8D" w14:textId="77777777" w:rsidR="00CD2097" w:rsidRDefault="00CD2097" w:rsidP="00320403">
      <w:pPr>
        <w:spacing w:after="0" w:line="240" w:lineRule="auto"/>
        <w:rPr>
          <w:rFonts w:ascii="Futura" w:hAnsi="Futura"/>
          <w:b/>
          <w:bCs/>
          <w:color w:val="00AEDB"/>
          <w:sz w:val="24"/>
          <w:szCs w:val="24"/>
        </w:rPr>
      </w:pPr>
    </w:p>
    <w:p w14:paraId="4577D0A3" w14:textId="0559CE67" w:rsidR="00320403" w:rsidRDefault="00320403" w:rsidP="00320403">
      <w:pPr>
        <w:spacing w:after="0" w:line="240" w:lineRule="auto"/>
        <w:rPr>
          <w:rFonts w:ascii="Futura" w:hAnsi="Futura"/>
          <w:b/>
          <w:bCs/>
          <w:color w:val="00AEDB"/>
          <w:sz w:val="24"/>
          <w:szCs w:val="24"/>
        </w:rPr>
      </w:pPr>
      <w:r>
        <w:rPr>
          <w:rFonts w:ascii="Futura" w:hAnsi="Futura"/>
          <w:b/>
          <w:bCs/>
          <w:color w:val="00AEDB"/>
          <w:sz w:val="24"/>
          <w:szCs w:val="24"/>
        </w:rPr>
        <w:t xml:space="preserve">Reference(s): </w:t>
      </w:r>
    </w:p>
    <w:p w14:paraId="208BE092" w14:textId="77777777" w:rsidR="00320403" w:rsidRDefault="00320403" w:rsidP="00320403">
      <w:pPr>
        <w:spacing w:after="0" w:line="240" w:lineRule="auto"/>
        <w:rPr>
          <w:rFonts w:ascii="Futura" w:hAnsi="Futura"/>
          <w:b/>
          <w:bCs/>
          <w:color w:val="00AEDB"/>
          <w:sz w:val="24"/>
          <w:szCs w:val="24"/>
        </w:rPr>
      </w:pPr>
    </w:p>
    <w:p w14:paraId="4C268FE7" w14:textId="5E0800CD" w:rsidR="003632DD" w:rsidRPr="003632DD" w:rsidRDefault="003632DD" w:rsidP="00F41B3A">
      <w:pPr>
        <w:pStyle w:val="ListParagraph"/>
        <w:numPr>
          <w:ilvl w:val="0"/>
          <w:numId w:val="1"/>
        </w:numPr>
        <w:spacing w:after="0" w:line="240" w:lineRule="auto"/>
        <w:rPr>
          <w:rFonts w:ascii="Futura" w:eastAsia="Calibri" w:hAnsi="Futura" w:cs="Calibri"/>
          <w:b/>
          <w:bCs/>
          <w:color w:val="000000"/>
          <w:sz w:val="20"/>
          <w:szCs w:val="20"/>
          <w:lang w:bidi="en-US"/>
        </w:rPr>
      </w:pPr>
      <w:r w:rsidRPr="003632DD">
        <w:rPr>
          <w:rFonts w:ascii="Futura" w:eastAsia="Calibri" w:hAnsi="Futura" w:cs="Calibri"/>
          <w:color w:val="000000"/>
          <w:sz w:val="20"/>
          <w:szCs w:val="20"/>
          <w:lang w:bidi="en-US"/>
        </w:rPr>
        <w:t xml:space="preserve">"White Cell Colony Stimulating Factors." Medicare Coverage Database, 22 Dec. 2022, </w:t>
      </w:r>
      <w:hyperlink r:id="rId13" w:history="1">
        <w:r w:rsidRPr="0089246F">
          <w:rPr>
            <w:rStyle w:val="Hyperlink"/>
            <w:rFonts w:ascii="Futura" w:eastAsia="Calibri" w:hAnsi="Futura" w:cs="Calibri"/>
            <w:sz w:val="20"/>
            <w:szCs w:val="20"/>
            <w:lang w:bidi="en-US"/>
          </w:rPr>
          <w:t>www.cms.gov/medicare-coverage-database/view/lcd.aspx?lcdid=37176&amp;ver=57&amp;keyword=colony%20stimulating%20factors&amp;keywordType=starts&amp;areaId=all&amp;docType=NCA,CAL,NCD,MEDCAC,TA,MCD,6,3,5,1,F,P&amp;contractOption=all&amp;sortBy=relevance&amp;bc=1</w:t>
        </w:r>
      </w:hyperlink>
      <w:r w:rsidRPr="003632DD">
        <w:rPr>
          <w:rFonts w:ascii="Futura" w:eastAsia="Calibri" w:hAnsi="Futura" w:cs="Calibri"/>
          <w:color w:val="000000"/>
          <w:sz w:val="20"/>
          <w:szCs w:val="20"/>
          <w:lang w:bidi="en-US"/>
        </w:rPr>
        <w:t>.</w:t>
      </w:r>
    </w:p>
    <w:p w14:paraId="2A62542D" w14:textId="0C9BB2C9" w:rsidR="00FA7C17" w:rsidRPr="00F64756" w:rsidRDefault="00F64756" w:rsidP="00F41B3A">
      <w:pPr>
        <w:pStyle w:val="ListParagraph"/>
        <w:numPr>
          <w:ilvl w:val="0"/>
          <w:numId w:val="1"/>
        </w:numPr>
        <w:spacing w:after="0" w:line="240" w:lineRule="auto"/>
        <w:rPr>
          <w:rFonts w:ascii="Futura" w:eastAsia="Calibri" w:hAnsi="Futura" w:cs="Calibri"/>
          <w:b/>
          <w:bCs/>
          <w:color w:val="000000"/>
          <w:sz w:val="20"/>
          <w:szCs w:val="20"/>
          <w:lang w:bidi="en-US"/>
        </w:rPr>
      </w:pPr>
      <w:r>
        <w:rPr>
          <w:rFonts w:ascii="Futura" w:eastAsia="Calibri" w:hAnsi="Futura" w:cs="Calibri"/>
          <w:color w:val="000000"/>
          <w:sz w:val="20"/>
          <w:szCs w:val="20"/>
          <w:lang w:bidi="en-US"/>
        </w:rPr>
        <w:t xml:space="preserve">eternalHealth Medicare Part B Prior Authorization List.  </w:t>
      </w:r>
      <w:hyperlink r:id="rId14" w:history="1">
        <w:r>
          <w:rPr>
            <w:rStyle w:val="Hyperlink"/>
            <w:rFonts w:ascii="Futura" w:eastAsia="Calibri" w:hAnsi="Futura" w:cs="Calibri"/>
            <w:sz w:val="20"/>
            <w:szCs w:val="20"/>
            <w:lang w:bidi="en-US"/>
          </w:rPr>
          <w:t>https://www.eternalhealth.com/wp-content/uploads/2022/10/eternalHealth_MA-Part-B-PA-List-eff-1-1-2025.pdf</w:t>
        </w:r>
      </w:hyperlink>
    </w:p>
    <w:p w14:paraId="55401300" w14:textId="177C702B" w:rsidR="00A46203" w:rsidRPr="00AA09A0" w:rsidRDefault="00F45E5D" w:rsidP="00F41B3A">
      <w:pPr>
        <w:pStyle w:val="ListParagraph"/>
        <w:numPr>
          <w:ilvl w:val="0"/>
          <w:numId w:val="1"/>
        </w:numPr>
        <w:spacing w:after="0" w:line="240" w:lineRule="auto"/>
        <w:rPr>
          <w:rFonts w:ascii="Futura" w:eastAsia="Calibri" w:hAnsi="Futura" w:cs="Calibri"/>
          <w:b/>
          <w:bCs/>
          <w:color w:val="000000"/>
          <w:sz w:val="20"/>
          <w:szCs w:val="20"/>
          <w:lang w:bidi="en-US"/>
        </w:rPr>
      </w:pPr>
      <w:r>
        <w:rPr>
          <w:rFonts w:ascii="Futura" w:eastAsia="Calibri" w:hAnsi="Futura" w:cs="Calibri"/>
          <w:color w:val="000000"/>
          <w:sz w:val="20"/>
          <w:szCs w:val="20"/>
          <w:lang w:bidi="en-US"/>
        </w:rPr>
        <w:t xml:space="preserve">CMS ASP Pricing Files.  </w:t>
      </w:r>
      <w:hyperlink r:id="rId15" w:history="1">
        <w:r>
          <w:rPr>
            <w:rStyle w:val="Hyperlink"/>
            <w:rFonts w:ascii="Futura" w:eastAsia="Calibri" w:hAnsi="Futura" w:cs="Calibri"/>
            <w:sz w:val="20"/>
            <w:szCs w:val="20"/>
            <w:lang w:bidi="en-US"/>
          </w:rPr>
          <w:t>https://www.cms.gov/medicare/payment/part-b-drugs/asp-pricing-files</w:t>
        </w:r>
      </w:hyperlink>
    </w:p>
    <w:p w14:paraId="0660324A" w14:textId="77777777" w:rsidR="009C7DD7" w:rsidRDefault="009C7DD7" w:rsidP="009C7DD7">
      <w:pPr>
        <w:pStyle w:val="ListParagraph"/>
        <w:spacing w:after="0" w:line="240" w:lineRule="auto"/>
        <w:rPr>
          <w:rFonts w:ascii="Futura" w:eastAsia="Calibri" w:hAnsi="Futura" w:cs="Calibri"/>
          <w:color w:val="000000"/>
          <w:sz w:val="20"/>
          <w:szCs w:val="20"/>
          <w:lang w:bidi="en-US"/>
        </w:rPr>
      </w:pPr>
    </w:p>
    <w:p w14:paraId="717ACA0E" w14:textId="0FC644FC" w:rsidR="000D5D23" w:rsidRPr="00171CC3" w:rsidRDefault="000D5D23" w:rsidP="00320403">
      <w:pPr>
        <w:widowControl w:val="0"/>
        <w:autoSpaceDE w:val="0"/>
        <w:autoSpaceDN w:val="0"/>
        <w:spacing w:line="240" w:lineRule="auto"/>
        <w:rPr>
          <w:rFonts w:ascii="Futura" w:hAnsi="Futura"/>
          <w:b/>
          <w:bCs/>
          <w:color w:val="00AEDB"/>
          <w:sz w:val="24"/>
          <w:szCs w:val="24"/>
        </w:rPr>
      </w:pPr>
    </w:p>
    <w:sectPr w:rsidR="000D5D23" w:rsidRPr="00171CC3" w:rsidSect="00CB0EDA">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altName w:val="Montserrat"/>
    <w:charset w:val="00"/>
    <w:family w:val="auto"/>
    <w:pitch w:val="variable"/>
    <w:sig w:usb0="2000020F" w:usb1="00000003" w:usb2="00000000" w:usb3="00000000" w:csb0="00000197" w:csb1="00000000"/>
  </w:font>
  <w:font w:name="Futura">
    <w:altName w:val="Century Gothic"/>
    <w:panose1 w:val="00000000000000000000"/>
    <w:charset w:val="00"/>
    <w:family w:val="roman"/>
    <w:notTrueType/>
    <w:pitch w:val="default"/>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B4E31"/>
    <w:multiLevelType w:val="multilevel"/>
    <w:tmpl w:val="0960F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67888"/>
    <w:multiLevelType w:val="hybridMultilevel"/>
    <w:tmpl w:val="86DAB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FF26E8"/>
    <w:multiLevelType w:val="hybridMultilevel"/>
    <w:tmpl w:val="D104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E5275"/>
    <w:multiLevelType w:val="multilevel"/>
    <w:tmpl w:val="20769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E15F3"/>
    <w:multiLevelType w:val="multilevel"/>
    <w:tmpl w:val="8892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313D0"/>
    <w:multiLevelType w:val="multilevel"/>
    <w:tmpl w:val="8CB6B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A14ED3"/>
    <w:multiLevelType w:val="multilevel"/>
    <w:tmpl w:val="64BCD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D72D6D"/>
    <w:multiLevelType w:val="hybridMultilevel"/>
    <w:tmpl w:val="D5DCD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F6B5F"/>
    <w:multiLevelType w:val="hybridMultilevel"/>
    <w:tmpl w:val="E640E7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29265964">
    <w:abstractNumId w:val="1"/>
  </w:num>
  <w:num w:numId="2" w16cid:durableId="319963776">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1197693514">
    <w:abstractNumId w:val="2"/>
  </w:num>
  <w:num w:numId="4" w16cid:durableId="1138184515">
    <w:abstractNumId w:val="5"/>
  </w:num>
  <w:num w:numId="5" w16cid:durableId="1679431826">
    <w:abstractNumId w:val="5"/>
    <w:lvlOverride w:ilvl="3">
      <w:lvl w:ilvl="3">
        <w:numFmt w:val="bullet"/>
        <w:lvlText w:val=""/>
        <w:lvlJc w:val="left"/>
        <w:pPr>
          <w:tabs>
            <w:tab w:val="num" w:pos="2880"/>
          </w:tabs>
          <w:ind w:left="2880" w:hanging="360"/>
        </w:pPr>
        <w:rPr>
          <w:rFonts w:ascii="Symbol" w:hAnsi="Symbol" w:hint="default"/>
          <w:sz w:val="20"/>
        </w:rPr>
      </w:lvl>
    </w:lvlOverride>
  </w:num>
  <w:num w:numId="6" w16cid:durableId="1586380874">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7" w16cid:durableId="83110678">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6">
      <w:lvl w:ilvl="6">
        <w:numFmt w:val="bullet"/>
        <w:lvlText w:val=""/>
        <w:lvlJc w:val="left"/>
        <w:pPr>
          <w:tabs>
            <w:tab w:val="num" w:pos="5040"/>
          </w:tabs>
          <w:ind w:left="5040" w:hanging="360"/>
        </w:pPr>
        <w:rPr>
          <w:rFonts w:ascii="Symbol" w:hAnsi="Symbol" w:hint="default"/>
          <w:sz w:val="20"/>
        </w:rPr>
      </w:lvl>
    </w:lvlOverride>
  </w:num>
  <w:num w:numId="8" w16cid:durableId="523983447">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6">
      <w:lvl w:ilvl="6">
        <w:numFmt w:val="bullet"/>
        <w:lvlText w:val=""/>
        <w:lvlJc w:val="left"/>
        <w:pPr>
          <w:tabs>
            <w:tab w:val="num" w:pos="5040"/>
          </w:tabs>
          <w:ind w:left="5040" w:hanging="360"/>
        </w:pPr>
        <w:rPr>
          <w:rFonts w:ascii="Symbol" w:hAnsi="Symbol" w:hint="default"/>
          <w:sz w:val="20"/>
        </w:rPr>
      </w:lvl>
    </w:lvlOverride>
  </w:num>
  <w:num w:numId="9" w16cid:durableId="736904353">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6">
      <w:lvl w:ilvl="6">
        <w:numFmt w:val="bullet"/>
        <w:lvlText w:val=""/>
        <w:lvlJc w:val="left"/>
        <w:pPr>
          <w:tabs>
            <w:tab w:val="num" w:pos="5040"/>
          </w:tabs>
          <w:ind w:left="5040" w:hanging="360"/>
        </w:pPr>
        <w:rPr>
          <w:rFonts w:ascii="Symbol" w:hAnsi="Symbol" w:hint="default"/>
          <w:sz w:val="20"/>
        </w:rPr>
      </w:lvl>
    </w:lvlOverride>
  </w:num>
  <w:num w:numId="10" w16cid:durableId="2048992023">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1" w16cid:durableId="419642521">
    <w:abstractNumId w:val="5"/>
    <w:lvlOverride w:ilvl="3">
      <w:lvl w:ilvl="3">
        <w:numFmt w:val="bullet"/>
        <w:lvlText w:val=""/>
        <w:lvlJc w:val="left"/>
        <w:pPr>
          <w:tabs>
            <w:tab w:val="num" w:pos="2880"/>
          </w:tabs>
          <w:ind w:left="2880" w:hanging="360"/>
        </w:pPr>
        <w:rPr>
          <w:rFonts w:ascii="Symbol" w:hAnsi="Symbol" w:hint="default"/>
          <w:sz w:val="20"/>
        </w:rPr>
      </w:lvl>
    </w:lvlOverride>
  </w:num>
  <w:num w:numId="12" w16cid:durableId="893349815">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3" w16cid:durableId="324473672">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6">
      <w:lvl w:ilvl="6">
        <w:numFmt w:val="bullet"/>
        <w:lvlText w:val=""/>
        <w:lvlJc w:val="left"/>
        <w:pPr>
          <w:tabs>
            <w:tab w:val="num" w:pos="5040"/>
          </w:tabs>
          <w:ind w:left="5040" w:hanging="360"/>
        </w:pPr>
        <w:rPr>
          <w:rFonts w:ascii="Symbol" w:hAnsi="Symbol" w:hint="default"/>
          <w:sz w:val="20"/>
        </w:rPr>
      </w:lvl>
    </w:lvlOverride>
  </w:num>
  <w:num w:numId="14" w16cid:durableId="670763874">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6">
      <w:lvl w:ilvl="6">
        <w:numFmt w:val="bullet"/>
        <w:lvlText w:val=""/>
        <w:lvlJc w:val="left"/>
        <w:pPr>
          <w:tabs>
            <w:tab w:val="num" w:pos="5040"/>
          </w:tabs>
          <w:ind w:left="5040" w:hanging="360"/>
        </w:pPr>
        <w:rPr>
          <w:rFonts w:ascii="Symbol" w:hAnsi="Symbol" w:hint="default"/>
          <w:sz w:val="20"/>
        </w:rPr>
      </w:lvl>
    </w:lvlOverride>
  </w:num>
  <w:num w:numId="15" w16cid:durableId="1308511383">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6" w16cid:durableId="1507750415">
    <w:abstractNumId w:val="5"/>
    <w:lvlOverride w:ilvl="3">
      <w:lvl w:ilvl="3">
        <w:numFmt w:val="bullet"/>
        <w:lvlText w:val=""/>
        <w:lvlJc w:val="left"/>
        <w:pPr>
          <w:tabs>
            <w:tab w:val="num" w:pos="2880"/>
          </w:tabs>
          <w:ind w:left="2880" w:hanging="360"/>
        </w:pPr>
        <w:rPr>
          <w:rFonts w:ascii="Symbol" w:hAnsi="Symbol" w:hint="default"/>
          <w:sz w:val="20"/>
        </w:rPr>
      </w:lvl>
    </w:lvlOverride>
  </w:num>
  <w:num w:numId="17" w16cid:durableId="1351948798">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8" w16cid:durableId="236743242">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9" w16cid:durableId="1705980596">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20" w16cid:durableId="808546851">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21" w16cid:durableId="1834296726">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22" w16cid:durableId="1547058859">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23" w16cid:durableId="607783973">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24" w16cid:durableId="1571454196">
    <w:abstractNumId w:val="5"/>
    <w:lvlOverride w:ilvl="3">
      <w:lvl w:ilvl="3">
        <w:numFmt w:val="bullet"/>
        <w:lvlText w:val=""/>
        <w:lvlJc w:val="left"/>
        <w:pPr>
          <w:tabs>
            <w:tab w:val="num" w:pos="2880"/>
          </w:tabs>
          <w:ind w:left="2880" w:hanging="360"/>
        </w:pPr>
        <w:rPr>
          <w:rFonts w:ascii="Symbol" w:hAnsi="Symbol" w:hint="default"/>
          <w:sz w:val="20"/>
        </w:rPr>
      </w:lvl>
    </w:lvlOverride>
  </w:num>
  <w:num w:numId="25" w16cid:durableId="62148006">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26" w16cid:durableId="1030030356">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27" w16cid:durableId="972715141">
    <w:abstractNumId w:val="5"/>
    <w:lvlOverride w:ilvl="3">
      <w:lvl w:ilvl="3">
        <w:numFmt w:val="bullet"/>
        <w:lvlText w:val=""/>
        <w:lvlJc w:val="left"/>
        <w:pPr>
          <w:tabs>
            <w:tab w:val="num" w:pos="2880"/>
          </w:tabs>
          <w:ind w:left="2880" w:hanging="360"/>
        </w:pPr>
        <w:rPr>
          <w:rFonts w:ascii="Symbol" w:hAnsi="Symbol" w:hint="default"/>
          <w:sz w:val="20"/>
        </w:rPr>
      </w:lvl>
    </w:lvlOverride>
  </w:num>
  <w:num w:numId="28" w16cid:durableId="1703356486">
    <w:abstractNumId w:val="5"/>
    <w:lvlOverride w:ilvl="3">
      <w:lvl w:ilvl="3">
        <w:numFmt w:val="bullet"/>
        <w:lvlText w:val=""/>
        <w:lvlJc w:val="left"/>
        <w:pPr>
          <w:tabs>
            <w:tab w:val="num" w:pos="2880"/>
          </w:tabs>
          <w:ind w:left="2880" w:hanging="360"/>
        </w:pPr>
        <w:rPr>
          <w:rFonts w:ascii="Symbol" w:hAnsi="Symbol" w:hint="default"/>
          <w:sz w:val="20"/>
        </w:rPr>
      </w:lvl>
    </w:lvlOverride>
  </w:num>
  <w:num w:numId="29" w16cid:durableId="1018508621">
    <w:abstractNumId w:val="5"/>
    <w:lvlOverride w:ilvl="3">
      <w:lvl w:ilvl="3">
        <w:numFmt w:val="bullet"/>
        <w:lvlText w:val=""/>
        <w:lvlJc w:val="left"/>
        <w:pPr>
          <w:tabs>
            <w:tab w:val="num" w:pos="2880"/>
          </w:tabs>
          <w:ind w:left="2880" w:hanging="360"/>
        </w:pPr>
        <w:rPr>
          <w:rFonts w:ascii="Symbol" w:hAnsi="Symbol" w:hint="default"/>
          <w:sz w:val="20"/>
        </w:rPr>
      </w:lvl>
    </w:lvlOverride>
  </w:num>
  <w:num w:numId="30" w16cid:durableId="1470199401">
    <w:abstractNumId w:val="5"/>
    <w:lvlOverride w:ilvl="3">
      <w:lvl w:ilvl="3">
        <w:numFmt w:val="bullet"/>
        <w:lvlText w:val=""/>
        <w:lvlJc w:val="left"/>
        <w:pPr>
          <w:tabs>
            <w:tab w:val="num" w:pos="2880"/>
          </w:tabs>
          <w:ind w:left="2880" w:hanging="360"/>
        </w:pPr>
        <w:rPr>
          <w:rFonts w:ascii="Symbol" w:hAnsi="Symbol" w:hint="default"/>
          <w:sz w:val="20"/>
        </w:rPr>
      </w:lvl>
    </w:lvlOverride>
  </w:num>
  <w:num w:numId="31" w16cid:durableId="2126802699">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32" w16cid:durableId="1140881884">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33" w16cid:durableId="1275400470">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34" w16cid:durableId="1090934597">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35" w16cid:durableId="1690907483">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36" w16cid:durableId="1084953758">
    <w:abstractNumId w:val="5"/>
    <w:lvlOverride w:ilvl="3">
      <w:lvl w:ilvl="3">
        <w:numFmt w:val="bullet"/>
        <w:lvlText w:val=""/>
        <w:lvlJc w:val="left"/>
        <w:pPr>
          <w:tabs>
            <w:tab w:val="num" w:pos="2880"/>
          </w:tabs>
          <w:ind w:left="2880" w:hanging="360"/>
        </w:pPr>
        <w:rPr>
          <w:rFonts w:ascii="Symbol" w:hAnsi="Symbol" w:hint="default"/>
          <w:sz w:val="20"/>
        </w:rPr>
      </w:lvl>
    </w:lvlOverride>
  </w:num>
  <w:num w:numId="37" w16cid:durableId="917053331">
    <w:abstractNumId w:val="5"/>
    <w:lvlOverride w:ilvl="3">
      <w:lvl w:ilvl="3">
        <w:numFmt w:val="bullet"/>
        <w:lvlText w:val=""/>
        <w:lvlJc w:val="left"/>
        <w:pPr>
          <w:tabs>
            <w:tab w:val="num" w:pos="2880"/>
          </w:tabs>
          <w:ind w:left="2880" w:hanging="360"/>
        </w:pPr>
        <w:rPr>
          <w:rFonts w:ascii="Symbol" w:hAnsi="Symbol" w:hint="default"/>
          <w:sz w:val="20"/>
        </w:rPr>
      </w:lvl>
    </w:lvlOverride>
  </w:num>
  <w:num w:numId="38" w16cid:durableId="1792019744">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39" w16cid:durableId="320471768">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40" w16cid:durableId="1778914582">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41" w16cid:durableId="237136687">
    <w:abstractNumId w:val="5"/>
    <w:lvlOverride w:ilvl="3">
      <w:lvl w:ilvl="3">
        <w:numFmt w:val="bullet"/>
        <w:lvlText w:val=""/>
        <w:lvlJc w:val="left"/>
        <w:pPr>
          <w:tabs>
            <w:tab w:val="num" w:pos="2880"/>
          </w:tabs>
          <w:ind w:left="2880" w:hanging="360"/>
        </w:pPr>
        <w:rPr>
          <w:rFonts w:ascii="Symbol" w:hAnsi="Symbol" w:hint="default"/>
          <w:sz w:val="20"/>
        </w:rPr>
      </w:lvl>
    </w:lvlOverride>
  </w:num>
  <w:num w:numId="42" w16cid:durableId="1260678473">
    <w:abstractNumId w:val="5"/>
    <w:lvlOverride w:ilvl="3">
      <w:lvl w:ilvl="3">
        <w:numFmt w:val="bullet"/>
        <w:lvlText w:val=""/>
        <w:lvlJc w:val="left"/>
        <w:pPr>
          <w:tabs>
            <w:tab w:val="num" w:pos="2880"/>
          </w:tabs>
          <w:ind w:left="2880" w:hanging="360"/>
        </w:pPr>
        <w:rPr>
          <w:rFonts w:ascii="Symbol" w:hAnsi="Symbol" w:hint="default"/>
          <w:sz w:val="20"/>
        </w:rPr>
      </w:lvl>
    </w:lvlOverride>
  </w:num>
  <w:num w:numId="43" w16cid:durableId="1197817766">
    <w:abstractNumId w:val="5"/>
    <w:lvlOverride w:ilvl="3">
      <w:lvl w:ilvl="3">
        <w:numFmt w:val="bullet"/>
        <w:lvlText w:val=""/>
        <w:lvlJc w:val="left"/>
        <w:pPr>
          <w:tabs>
            <w:tab w:val="num" w:pos="2880"/>
          </w:tabs>
          <w:ind w:left="2880" w:hanging="360"/>
        </w:pPr>
        <w:rPr>
          <w:rFonts w:ascii="Symbol" w:hAnsi="Symbol" w:hint="default"/>
          <w:sz w:val="20"/>
        </w:rPr>
      </w:lvl>
    </w:lvlOverride>
  </w:num>
  <w:num w:numId="44" w16cid:durableId="625281598">
    <w:abstractNumId w:val="5"/>
    <w:lvlOverride w:ilvl="3">
      <w:lvl w:ilvl="3">
        <w:numFmt w:val="bullet"/>
        <w:lvlText w:val=""/>
        <w:lvlJc w:val="left"/>
        <w:pPr>
          <w:tabs>
            <w:tab w:val="num" w:pos="2880"/>
          </w:tabs>
          <w:ind w:left="2880" w:hanging="360"/>
        </w:pPr>
        <w:rPr>
          <w:rFonts w:ascii="Symbol" w:hAnsi="Symbol" w:hint="default"/>
          <w:sz w:val="20"/>
        </w:rPr>
      </w:lvl>
    </w:lvlOverride>
  </w:num>
  <w:num w:numId="45" w16cid:durableId="1228809086">
    <w:abstractNumId w:val="5"/>
    <w:lvlOverride w:ilvl="3">
      <w:lvl w:ilvl="3">
        <w:numFmt w:val="bullet"/>
        <w:lvlText w:val=""/>
        <w:lvlJc w:val="left"/>
        <w:pPr>
          <w:tabs>
            <w:tab w:val="num" w:pos="2880"/>
          </w:tabs>
          <w:ind w:left="2880" w:hanging="360"/>
        </w:pPr>
        <w:rPr>
          <w:rFonts w:ascii="Symbol" w:hAnsi="Symbol" w:hint="default"/>
          <w:sz w:val="20"/>
        </w:rPr>
      </w:lvl>
    </w:lvlOverride>
  </w:num>
  <w:num w:numId="46" w16cid:durableId="553278463">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47" w16cid:durableId="1361122375">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48" w16cid:durableId="1901095531">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49" w16cid:durableId="1130637432">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50" w16cid:durableId="1091509023">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51" w16cid:durableId="1894581268">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52" w16cid:durableId="796144661">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53" w16cid:durableId="544566651">
    <w:abstractNumId w:val="5"/>
    <w:lvlOverride w:ilvl="3">
      <w:lvl w:ilvl="3">
        <w:numFmt w:val="bullet"/>
        <w:lvlText w:val=""/>
        <w:lvlJc w:val="left"/>
        <w:pPr>
          <w:tabs>
            <w:tab w:val="num" w:pos="2880"/>
          </w:tabs>
          <w:ind w:left="2880" w:hanging="360"/>
        </w:pPr>
        <w:rPr>
          <w:rFonts w:ascii="Symbol" w:hAnsi="Symbol" w:hint="default"/>
          <w:sz w:val="20"/>
        </w:rPr>
      </w:lvl>
    </w:lvlOverride>
  </w:num>
  <w:num w:numId="54" w16cid:durableId="1715881451">
    <w:abstractNumId w:val="5"/>
    <w:lvlOverride w:ilvl="3">
      <w:lvl w:ilvl="3">
        <w:numFmt w:val="bullet"/>
        <w:lvlText w:val=""/>
        <w:lvlJc w:val="left"/>
        <w:pPr>
          <w:tabs>
            <w:tab w:val="num" w:pos="2880"/>
          </w:tabs>
          <w:ind w:left="2880" w:hanging="360"/>
        </w:pPr>
        <w:rPr>
          <w:rFonts w:ascii="Symbol" w:hAnsi="Symbol" w:hint="default"/>
          <w:sz w:val="20"/>
        </w:rPr>
      </w:lvl>
    </w:lvlOverride>
  </w:num>
  <w:num w:numId="55" w16cid:durableId="1504471529">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56" w16cid:durableId="1143617804">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6">
      <w:lvl w:ilvl="6">
        <w:numFmt w:val="bullet"/>
        <w:lvlText w:val=""/>
        <w:lvlJc w:val="left"/>
        <w:pPr>
          <w:tabs>
            <w:tab w:val="num" w:pos="5040"/>
          </w:tabs>
          <w:ind w:left="5040" w:hanging="360"/>
        </w:pPr>
        <w:rPr>
          <w:rFonts w:ascii="Symbol" w:hAnsi="Symbol" w:hint="default"/>
          <w:sz w:val="20"/>
        </w:rPr>
      </w:lvl>
    </w:lvlOverride>
  </w:num>
  <w:num w:numId="57" w16cid:durableId="1623267963">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6">
      <w:lvl w:ilvl="6">
        <w:numFmt w:val="bullet"/>
        <w:lvlText w:val=""/>
        <w:lvlJc w:val="left"/>
        <w:pPr>
          <w:tabs>
            <w:tab w:val="num" w:pos="5040"/>
          </w:tabs>
          <w:ind w:left="5040" w:hanging="360"/>
        </w:pPr>
        <w:rPr>
          <w:rFonts w:ascii="Symbol" w:hAnsi="Symbol" w:hint="default"/>
          <w:sz w:val="20"/>
        </w:rPr>
      </w:lvl>
    </w:lvlOverride>
  </w:num>
  <w:num w:numId="58" w16cid:durableId="224068003">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59" w16cid:durableId="686712938">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6">
      <w:lvl w:ilvl="6">
        <w:numFmt w:val="bullet"/>
        <w:lvlText w:val=""/>
        <w:lvlJc w:val="left"/>
        <w:pPr>
          <w:tabs>
            <w:tab w:val="num" w:pos="5040"/>
          </w:tabs>
          <w:ind w:left="5040" w:hanging="360"/>
        </w:pPr>
        <w:rPr>
          <w:rFonts w:ascii="Symbol" w:hAnsi="Symbol" w:hint="default"/>
          <w:sz w:val="20"/>
        </w:rPr>
      </w:lvl>
    </w:lvlOverride>
  </w:num>
  <w:num w:numId="60" w16cid:durableId="235826239">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6">
      <w:lvl w:ilvl="6">
        <w:numFmt w:val="bullet"/>
        <w:lvlText w:val=""/>
        <w:lvlJc w:val="left"/>
        <w:pPr>
          <w:tabs>
            <w:tab w:val="num" w:pos="5040"/>
          </w:tabs>
          <w:ind w:left="5040" w:hanging="360"/>
        </w:pPr>
        <w:rPr>
          <w:rFonts w:ascii="Symbol" w:hAnsi="Symbol" w:hint="default"/>
          <w:sz w:val="20"/>
        </w:rPr>
      </w:lvl>
    </w:lvlOverride>
  </w:num>
  <w:num w:numId="61" w16cid:durableId="87044015">
    <w:abstractNumId w:val="5"/>
    <w:lvlOverride w:ilvl="3">
      <w:lvl w:ilvl="3">
        <w:numFmt w:val="bullet"/>
        <w:lvlText w:val=""/>
        <w:lvlJc w:val="left"/>
        <w:pPr>
          <w:tabs>
            <w:tab w:val="num" w:pos="2880"/>
          </w:tabs>
          <w:ind w:left="2880" w:hanging="360"/>
        </w:pPr>
        <w:rPr>
          <w:rFonts w:ascii="Symbol" w:hAnsi="Symbol" w:hint="default"/>
          <w:sz w:val="20"/>
        </w:rPr>
      </w:lvl>
    </w:lvlOverride>
  </w:num>
  <w:num w:numId="62" w16cid:durableId="1814176839">
    <w:abstractNumId w:val="5"/>
    <w:lvlOverride w:ilvl="3">
      <w:lvl w:ilvl="3">
        <w:numFmt w:val="bullet"/>
        <w:lvlText w:val=""/>
        <w:lvlJc w:val="left"/>
        <w:pPr>
          <w:tabs>
            <w:tab w:val="num" w:pos="2880"/>
          </w:tabs>
          <w:ind w:left="2880" w:hanging="360"/>
        </w:pPr>
        <w:rPr>
          <w:rFonts w:ascii="Symbol" w:hAnsi="Symbol" w:hint="default"/>
          <w:sz w:val="20"/>
        </w:rPr>
      </w:lvl>
    </w:lvlOverride>
  </w:num>
  <w:num w:numId="63" w16cid:durableId="65422468">
    <w:abstractNumId w:val="5"/>
    <w:lvlOverride w:ilvl="3">
      <w:lvl w:ilvl="3">
        <w:numFmt w:val="bullet"/>
        <w:lvlText w:val=""/>
        <w:lvlJc w:val="left"/>
        <w:pPr>
          <w:tabs>
            <w:tab w:val="num" w:pos="2880"/>
          </w:tabs>
          <w:ind w:left="2880" w:hanging="360"/>
        </w:pPr>
        <w:rPr>
          <w:rFonts w:ascii="Symbol" w:hAnsi="Symbol" w:hint="default"/>
          <w:sz w:val="20"/>
        </w:rPr>
      </w:lvl>
    </w:lvlOverride>
  </w:num>
  <w:num w:numId="64" w16cid:durableId="413742358">
    <w:abstractNumId w:val="5"/>
    <w:lvlOverride w:ilvl="3">
      <w:lvl w:ilvl="3">
        <w:numFmt w:val="bullet"/>
        <w:lvlText w:val=""/>
        <w:lvlJc w:val="left"/>
        <w:pPr>
          <w:tabs>
            <w:tab w:val="num" w:pos="2880"/>
          </w:tabs>
          <w:ind w:left="2880" w:hanging="360"/>
        </w:pPr>
        <w:rPr>
          <w:rFonts w:ascii="Symbol" w:hAnsi="Symbol" w:hint="default"/>
          <w:sz w:val="20"/>
        </w:rPr>
      </w:lvl>
    </w:lvlOverride>
  </w:num>
  <w:num w:numId="65" w16cid:durableId="1973095795">
    <w:abstractNumId w:val="5"/>
    <w:lvlOverride w:ilvl="3">
      <w:lvl w:ilvl="3">
        <w:numFmt w:val="bullet"/>
        <w:lvlText w:val=""/>
        <w:lvlJc w:val="left"/>
        <w:pPr>
          <w:tabs>
            <w:tab w:val="num" w:pos="2880"/>
          </w:tabs>
          <w:ind w:left="2880" w:hanging="360"/>
        </w:pPr>
        <w:rPr>
          <w:rFonts w:ascii="Symbol" w:hAnsi="Symbol" w:hint="default"/>
          <w:sz w:val="20"/>
        </w:rPr>
      </w:lvl>
    </w:lvlOverride>
  </w:num>
  <w:num w:numId="66" w16cid:durableId="1614357528">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67" w16cid:durableId="813646038">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68" w16cid:durableId="122358599">
    <w:abstractNumId w:val="0"/>
  </w:num>
  <w:num w:numId="69" w16cid:durableId="864517612">
    <w:abstractNumId w:val="0"/>
    <w:lvlOverride w:ilvl="3">
      <w:lvl w:ilvl="3">
        <w:numFmt w:val="bullet"/>
        <w:lvlText w:val=""/>
        <w:lvlJc w:val="left"/>
        <w:pPr>
          <w:tabs>
            <w:tab w:val="num" w:pos="2880"/>
          </w:tabs>
          <w:ind w:left="2880" w:hanging="360"/>
        </w:pPr>
        <w:rPr>
          <w:rFonts w:ascii="Symbol" w:hAnsi="Symbol" w:hint="default"/>
          <w:sz w:val="20"/>
        </w:rPr>
      </w:lvl>
    </w:lvlOverride>
  </w:num>
  <w:num w:numId="70" w16cid:durableId="920680940">
    <w:abstractNumId w:val="0"/>
    <w:lvlOverride w:ilvl="3">
      <w:lvl w:ilvl="3">
        <w:numFmt w:val="bullet"/>
        <w:lvlText w:val=""/>
        <w:lvlJc w:val="left"/>
        <w:pPr>
          <w:tabs>
            <w:tab w:val="num" w:pos="2880"/>
          </w:tabs>
          <w:ind w:left="2880" w:hanging="360"/>
        </w:pPr>
        <w:rPr>
          <w:rFonts w:ascii="Symbol" w:hAnsi="Symbol" w:hint="default"/>
          <w:sz w:val="20"/>
        </w:rPr>
      </w:lvl>
    </w:lvlOverride>
  </w:num>
  <w:num w:numId="71" w16cid:durableId="1985967809">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72" w16cid:durableId="646252052">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73" w16cid:durableId="2139563767">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74" w16cid:durableId="1608540802">
    <w:abstractNumId w:val="0"/>
    <w:lvlOverride w:ilvl="3">
      <w:lvl w:ilvl="3">
        <w:numFmt w:val="bullet"/>
        <w:lvlText w:val=""/>
        <w:lvlJc w:val="left"/>
        <w:pPr>
          <w:tabs>
            <w:tab w:val="num" w:pos="2880"/>
          </w:tabs>
          <w:ind w:left="2880" w:hanging="360"/>
        </w:pPr>
        <w:rPr>
          <w:rFonts w:ascii="Symbol" w:hAnsi="Symbol" w:hint="default"/>
          <w:sz w:val="20"/>
        </w:rPr>
      </w:lvl>
    </w:lvlOverride>
  </w:num>
  <w:num w:numId="75" w16cid:durableId="2024629529">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76" w16cid:durableId="958223563">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77" w16cid:durableId="439644134">
    <w:abstractNumId w:val="0"/>
    <w:lvlOverride w:ilvl="3">
      <w:lvl w:ilvl="3">
        <w:numFmt w:val="bullet"/>
        <w:lvlText w:val=""/>
        <w:lvlJc w:val="left"/>
        <w:pPr>
          <w:tabs>
            <w:tab w:val="num" w:pos="2880"/>
          </w:tabs>
          <w:ind w:left="2880" w:hanging="360"/>
        </w:pPr>
        <w:rPr>
          <w:rFonts w:ascii="Symbol" w:hAnsi="Symbol" w:hint="default"/>
          <w:sz w:val="20"/>
        </w:rPr>
      </w:lvl>
    </w:lvlOverride>
  </w:num>
  <w:num w:numId="78" w16cid:durableId="763918274">
    <w:abstractNumId w:val="0"/>
    <w:lvlOverride w:ilvl="3">
      <w:lvl w:ilvl="3">
        <w:numFmt w:val="bullet"/>
        <w:lvlText w:val=""/>
        <w:lvlJc w:val="left"/>
        <w:pPr>
          <w:tabs>
            <w:tab w:val="num" w:pos="2880"/>
          </w:tabs>
          <w:ind w:left="2880" w:hanging="360"/>
        </w:pPr>
        <w:rPr>
          <w:rFonts w:ascii="Symbol" w:hAnsi="Symbol" w:hint="default"/>
          <w:sz w:val="20"/>
        </w:rPr>
      </w:lvl>
    </w:lvlOverride>
  </w:num>
  <w:num w:numId="79" w16cid:durableId="319583913">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80" w16cid:durableId="1849635569">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81" w16cid:durableId="1045713373">
    <w:abstractNumId w:val="0"/>
    <w:lvlOverride w:ilvl="3">
      <w:lvl w:ilvl="3">
        <w:numFmt w:val="bullet"/>
        <w:lvlText w:val=""/>
        <w:lvlJc w:val="left"/>
        <w:pPr>
          <w:tabs>
            <w:tab w:val="num" w:pos="2880"/>
          </w:tabs>
          <w:ind w:left="2880" w:hanging="360"/>
        </w:pPr>
        <w:rPr>
          <w:rFonts w:ascii="Symbol" w:hAnsi="Symbol" w:hint="default"/>
          <w:sz w:val="20"/>
        </w:rPr>
      </w:lvl>
    </w:lvlOverride>
  </w:num>
  <w:num w:numId="82" w16cid:durableId="583564385">
    <w:abstractNumId w:val="0"/>
    <w:lvlOverride w:ilvl="3">
      <w:lvl w:ilvl="3">
        <w:numFmt w:val="bullet"/>
        <w:lvlText w:val=""/>
        <w:lvlJc w:val="left"/>
        <w:pPr>
          <w:tabs>
            <w:tab w:val="num" w:pos="2880"/>
          </w:tabs>
          <w:ind w:left="2880" w:hanging="360"/>
        </w:pPr>
        <w:rPr>
          <w:rFonts w:ascii="Symbol" w:hAnsi="Symbol" w:hint="default"/>
          <w:sz w:val="20"/>
        </w:rPr>
      </w:lvl>
    </w:lvlOverride>
  </w:num>
  <w:num w:numId="83" w16cid:durableId="1582374441">
    <w:abstractNumId w:val="0"/>
    <w:lvlOverride w:ilvl="3">
      <w:lvl w:ilvl="3">
        <w:numFmt w:val="bullet"/>
        <w:lvlText w:val=""/>
        <w:lvlJc w:val="left"/>
        <w:pPr>
          <w:tabs>
            <w:tab w:val="num" w:pos="2880"/>
          </w:tabs>
          <w:ind w:left="2880" w:hanging="360"/>
        </w:pPr>
        <w:rPr>
          <w:rFonts w:ascii="Symbol" w:hAnsi="Symbol" w:hint="default"/>
          <w:sz w:val="20"/>
        </w:rPr>
      </w:lvl>
    </w:lvlOverride>
  </w:num>
  <w:num w:numId="84" w16cid:durableId="1682392662">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85" w16cid:durableId="1554656388">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86" w16cid:durableId="569773687">
    <w:abstractNumId w:val="0"/>
    <w:lvlOverride w:ilvl="3">
      <w:lvl w:ilvl="3">
        <w:numFmt w:val="bullet"/>
        <w:lvlText w:val=""/>
        <w:lvlJc w:val="left"/>
        <w:pPr>
          <w:tabs>
            <w:tab w:val="num" w:pos="2880"/>
          </w:tabs>
          <w:ind w:left="2880" w:hanging="360"/>
        </w:pPr>
        <w:rPr>
          <w:rFonts w:ascii="Symbol" w:hAnsi="Symbol" w:hint="default"/>
          <w:sz w:val="20"/>
        </w:rPr>
      </w:lvl>
    </w:lvlOverride>
  </w:num>
  <w:num w:numId="87" w16cid:durableId="1607348288">
    <w:abstractNumId w:val="0"/>
    <w:lvlOverride w:ilvl="3">
      <w:lvl w:ilvl="3">
        <w:numFmt w:val="bullet"/>
        <w:lvlText w:val=""/>
        <w:lvlJc w:val="left"/>
        <w:pPr>
          <w:tabs>
            <w:tab w:val="num" w:pos="2880"/>
          </w:tabs>
          <w:ind w:left="2880" w:hanging="360"/>
        </w:pPr>
        <w:rPr>
          <w:rFonts w:ascii="Symbol" w:hAnsi="Symbol" w:hint="default"/>
          <w:sz w:val="20"/>
        </w:rPr>
      </w:lvl>
    </w:lvlOverride>
  </w:num>
  <w:num w:numId="88" w16cid:durableId="1559630578">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89" w16cid:durableId="1099255130">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90" w16cid:durableId="1751996624">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91" w16cid:durableId="1285115311">
    <w:abstractNumId w:val="0"/>
    <w:lvlOverride w:ilvl="3">
      <w:lvl w:ilvl="3">
        <w:numFmt w:val="bullet"/>
        <w:lvlText w:val=""/>
        <w:lvlJc w:val="left"/>
        <w:pPr>
          <w:tabs>
            <w:tab w:val="num" w:pos="2880"/>
          </w:tabs>
          <w:ind w:left="2880" w:hanging="360"/>
        </w:pPr>
        <w:rPr>
          <w:rFonts w:ascii="Symbol" w:hAnsi="Symbol" w:hint="default"/>
          <w:sz w:val="20"/>
        </w:rPr>
      </w:lvl>
    </w:lvlOverride>
  </w:num>
  <w:num w:numId="92" w16cid:durableId="2090881175">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93" w16cid:durableId="367099445">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94" w16cid:durableId="1763334081">
    <w:abstractNumId w:val="0"/>
    <w:lvlOverride w:ilvl="3">
      <w:lvl w:ilvl="3">
        <w:numFmt w:val="bullet"/>
        <w:lvlText w:val=""/>
        <w:lvlJc w:val="left"/>
        <w:pPr>
          <w:tabs>
            <w:tab w:val="num" w:pos="2880"/>
          </w:tabs>
          <w:ind w:left="2880" w:hanging="360"/>
        </w:pPr>
        <w:rPr>
          <w:rFonts w:ascii="Symbol" w:hAnsi="Symbol" w:hint="default"/>
          <w:sz w:val="20"/>
        </w:rPr>
      </w:lvl>
    </w:lvlOverride>
  </w:num>
  <w:num w:numId="95" w16cid:durableId="659314542">
    <w:abstractNumId w:val="0"/>
    <w:lvlOverride w:ilvl="3">
      <w:lvl w:ilvl="3">
        <w:numFmt w:val="bullet"/>
        <w:lvlText w:val=""/>
        <w:lvlJc w:val="left"/>
        <w:pPr>
          <w:tabs>
            <w:tab w:val="num" w:pos="2880"/>
          </w:tabs>
          <w:ind w:left="2880" w:hanging="360"/>
        </w:pPr>
        <w:rPr>
          <w:rFonts w:ascii="Symbol" w:hAnsi="Symbol" w:hint="default"/>
          <w:sz w:val="20"/>
        </w:rPr>
      </w:lvl>
    </w:lvlOverride>
  </w:num>
  <w:num w:numId="96" w16cid:durableId="884564955">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97" w16cid:durableId="287513056">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6">
      <w:lvl w:ilvl="6">
        <w:numFmt w:val="bullet"/>
        <w:lvlText w:val=""/>
        <w:lvlJc w:val="left"/>
        <w:pPr>
          <w:tabs>
            <w:tab w:val="num" w:pos="5040"/>
          </w:tabs>
          <w:ind w:left="5040" w:hanging="360"/>
        </w:pPr>
        <w:rPr>
          <w:rFonts w:ascii="Symbol" w:hAnsi="Symbol" w:hint="default"/>
          <w:sz w:val="20"/>
        </w:rPr>
      </w:lvl>
    </w:lvlOverride>
  </w:num>
  <w:num w:numId="98" w16cid:durableId="1509639450">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6">
      <w:lvl w:ilvl="6">
        <w:numFmt w:val="bullet"/>
        <w:lvlText w:val=""/>
        <w:lvlJc w:val="left"/>
        <w:pPr>
          <w:tabs>
            <w:tab w:val="num" w:pos="5040"/>
          </w:tabs>
          <w:ind w:left="5040" w:hanging="360"/>
        </w:pPr>
        <w:rPr>
          <w:rFonts w:ascii="Symbol" w:hAnsi="Symbol" w:hint="default"/>
          <w:sz w:val="20"/>
        </w:rPr>
      </w:lvl>
    </w:lvlOverride>
  </w:num>
  <w:num w:numId="99" w16cid:durableId="487480267">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00" w16cid:durableId="1946645276">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6">
      <w:lvl w:ilvl="6">
        <w:numFmt w:val="bullet"/>
        <w:lvlText w:val=""/>
        <w:lvlJc w:val="left"/>
        <w:pPr>
          <w:tabs>
            <w:tab w:val="num" w:pos="5040"/>
          </w:tabs>
          <w:ind w:left="5040" w:hanging="360"/>
        </w:pPr>
        <w:rPr>
          <w:rFonts w:ascii="Symbol" w:hAnsi="Symbol" w:hint="default"/>
          <w:sz w:val="20"/>
        </w:rPr>
      </w:lvl>
    </w:lvlOverride>
  </w:num>
  <w:num w:numId="101" w16cid:durableId="1918203300">
    <w:abstractNumId w:val="0"/>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lvlOverride w:ilvl="6">
      <w:lvl w:ilvl="6">
        <w:numFmt w:val="bullet"/>
        <w:lvlText w:val=""/>
        <w:lvlJc w:val="left"/>
        <w:pPr>
          <w:tabs>
            <w:tab w:val="num" w:pos="5040"/>
          </w:tabs>
          <w:ind w:left="5040" w:hanging="360"/>
        </w:pPr>
        <w:rPr>
          <w:rFonts w:ascii="Symbol" w:hAnsi="Symbol" w:hint="default"/>
          <w:sz w:val="20"/>
        </w:rPr>
      </w:lvl>
    </w:lvlOverride>
  </w:num>
  <w:num w:numId="102" w16cid:durableId="1506824824">
    <w:abstractNumId w:val="3"/>
  </w:num>
  <w:num w:numId="103" w16cid:durableId="1027020764">
    <w:abstractNumId w:val="3"/>
    <w:lvlOverride w:ilvl="3">
      <w:lvl w:ilvl="3">
        <w:numFmt w:val="bullet"/>
        <w:lvlText w:val=""/>
        <w:lvlJc w:val="left"/>
        <w:pPr>
          <w:tabs>
            <w:tab w:val="num" w:pos="2880"/>
          </w:tabs>
          <w:ind w:left="2880" w:hanging="360"/>
        </w:pPr>
        <w:rPr>
          <w:rFonts w:ascii="Symbol" w:hAnsi="Symbol" w:hint="default"/>
          <w:sz w:val="20"/>
        </w:rPr>
      </w:lvl>
    </w:lvlOverride>
  </w:num>
  <w:num w:numId="104" w16cid:durableId="38627573">
    <w:abstractNumId w:val="3"/>
    <w:lvlOverride w:ilvl="3">
      <w:lvl w:ilvl="3">
        <w:numFmt w:val="bullet"/>
        <w:lvlText w:val=""/>
        <w:lvlJc w:val="left"/>
        <w:pPr>
          <w:tabs>
            <w:tab w:val="num" w:pos="2880"/>
          </w:tabs>
          <w:ind w:left="2880" w:hanging="360"/>
        </w:pPr>
        <w:rPr>
          <w:rFonts w:ascii="Symbol" w:hAnsi="Symbol" w:hint="default"/>
          <w:sz w:val="20"/>
        </w:rPr>
      </w:lvl>
    </w:lvlOverride>
  </w:num>
  <w:num w:numId="105" w16cid:durableId="1624269938">
    <w:abstractNumId w:val="3"/>
    <w:lvlOverride w:ilvl="3">
      <w:lvl w:ilvl="3">
        <w:numFmt w:val="bullet"/>
        <w:lvlText w:val=""/>
        <w:lvlJc w:val="left"/>
        <w:pPr>
          <w:tabs>
            <w:tab w:val="num" w:pos="2880"/>
          </w:tabs>
          <w:ind w:left="2880" w:hanging="360"/>
        </w:pPr>
        <w:rPr>
          <w:rFonts w:ascii="Symbol" w:hAnsi="Symbol" w:hint="default"/>
          <w:sz w:val="20"/>
        </w:rPr>
      </w:lvl>
    </w:lvlOverride>
  </w:num>
  <w:num w:numId="106" w16cid:durableId="1796948991">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07" w16cid:durableId="1317107323">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08" w16cid:durableId="1657878897">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09" w16cid:durableId="1815679631">
    <w:abstractNumId w:val="3"/>
    <w:lvlOverride w:ilvl="3">
      <w:lvl w:ilvl="3">
        <w:numFmt w:val="bullet"/>
        <w:lvlText w:val=""/>
        <w:lvlJc w:val="left"/>
        <w:pPr>
          <w:tabs>
            <w:tab w:val="num" w:pos="2880"/>
          </w:tabs>
          <w:ind w:left="2880" w:hanging="360"/>
        </w:pPr>
        <w:rPr>
          <w:rFonts w:ascii="Symbol" w:hAnsi="Symbol" w:hint="default"/>
          <w:sz w:val="20"/>
        </w:rPr>
      </w:lvl>
    </w:lvlOverride>
  </w:num>
  <w:num w:numId="110" w16cid:durableId="1559054937">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11" w16cid:durableId="1688561415">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12" w16cid:durableId="1775586882">
    <w:abstractNumId w:val="3"/>
    <w:lvlOverride w:ilvl="3">
      <w:lvl w:ilvl="3">
        <w:numFmt w:val="bullet"/>
        <w:lvlText w:val=""/>
        <w:lvlJc w:val="left"/>
        <w:pPr>
          <w:tabs>
            <w:tab w:val="num" w:pos="2880"/>
          </w:tabs>
          <w:ind w:left="2880" w:hanging="360"/>
        </w:pPr>
        <w:rPr>
          <w:rFonts w:ascii="Symbol" w:hAnsi="Symbol" w:hint="default"/>
          <w:sz w:val="20"/>
        </w:rPr>
      </w:lvl>
    </w:lvlOverride>
  </w:num>
  <w:num w:numId="113" w16cid:durableId="965349423">
    <w:abstractNumId w:val="3"/>
    <w:lvlOverride w:ilvl="3">
      <w:lvl w:ilvl="3">
        <w:numFmt w:val="bullet"/>
        <w:lvlText w:val=""/>
        <w:lvlJc w:val="left"/>
        <w:pPr>
          <w:tabs>
            <w:tab w:val="num" w:pos="2880"/>
          </w:tabs>
          <w:ind w:left="2880" w:hanging="360"/>
        </w:pPr>
        <w:rPr>
          <w:rFonts w:ascii="Symbol" w:hAnsi="Symbol" w:hint="default"/>
          <w:sz w:val="20"/>
        </w:rPr>
      </w:lvl>
    </w:lvlOverride>
  </w:num>
  <w:num w:numId="114" w16cid:durableId="1564755790">
    <w:abstractNumId w:val="3"/>
    <w:lvlOverride w:ilvl="3">
      <w:lvl w:ilvl="3">
        <w:numFmt w:val="bullet"/>
        <w:lvlText w:val=""/>
        <w:lvlJc w:val="left"/>
        <w:pPr>
          <w:tabs>
            <w:tab w:val="num" w:pos="2880"/>
          </w:tabs>
          <w:ind w:left="2880" w:hanging="360"/>
        </w:pPr>
        <w:rPr>
          <w:rFonts w:ascii="Symbol" w:hAnsi="Symbol" w:hint="default"/>
          <w:sz w:val="20"/>
        </w:rPr>
      </w:lvl>
    </w:lvlOverride>
  </w:num>
  <w:num w:numId="115" w16cid:durableId="1844663483">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16" w16cid:durableId="1872693307">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17" w16cid:durableId="336230231">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18" w16cid:durableId="2053266772">
    <w:abstractNumId w:val="3"/>
    <w:lvlOverride w:ilvl="3">
      <w:lvl w:ilvl="3">
        <w:numFmt w:val="bullet"/>
        <w:lvlText w:val=""/>
        <w:lvlJc w:val="left"/>
        <w:pPr>
          <w:tabs>
            <w:tab w:val="num" w:pos="2880"/>
          </w:tabs>
          <w:ind w:left="2880" w:hanging="360"/>
        </w:pPr>
        <w:rPr>
          <w:rFonts w:ascii="Symbol" w:hAnsi="Symbol" w:hint="default"/>
          <w:sz w:val="20"/>
        </w:rPr>
      </w:lvl>
    </w:lvlOverride>
  </w:num>
  <w:num w:numId="119" w16cid:durableId="1960062195">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20" w16cid:durableId="334186991">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21" w16cid:durableId="759446085">
    <w:abstractNumId w:val="3"/>
    <w:lvlOverride w:ilvl="3">
      <w:lvl w:ilvl="3">
        <w:numFmt w:val="bullet"/>
        <w:lvlText w:val=""/>
        <w:lvlJc w:val="left"/>
        <w:pPr>
          <w:tabs>
            <w:tab w:val="num" w:pos="2880"/>
          </w:tabs>
          <w:ind w:left="2880" w:hanging="360"/>
        </w:pPr>
        <w:rPr>
          <w:rFonts w:ascii="Symbol" w:hAnsi="Symbol" w:hint="default"/>
          <w:sz w:val="20"/>
        </w:rPr>
      </w:lvl>
    </w:lvlOverride>
  </w:num>
  <w:num w:numId="122" w16cid:durableId="238752679">
    <w:abstractNumId w:val="3"/>
    <w:lvlOverride w:ilvl="3">
      <w:lvl w:ilvl="3">
        <w:numFmt w:val="bullet"/>
        <w:lvlText w:val=""/>
        <w:lvlJc w:val="left"/>
        <w:pPr>
          <w:tabs>
            <w:tab w:val="num" w:pos="2880"/>
          </w:tabs>
          <w:ind w:left="2880" w:hanging="360"/>
        </w:pPr>
        <w:rPr>
          <w:rFonts w:ascii="Symbol" w:hAnsi="Symbol" w:hint="default"/>
          <w:sz w:val="20"/>
        </w:rPr>
      </w:lvl>
    </w:lvlOverride>
  </w:num>
  <w:num w:numId="123" w16cid:durableId="1876652483">
    <w:abstractNumId w:val="3"/>
    <w:lvlOverride w:ilvl="3">
      <w:lvl w:ilvl="3">
        <w:numFmt w:val="bullet"/>
        <w:lvlText w:val=""/>
        <w:lvlJc w:val="left"/>
        <w:pPr>
          <w:tabs>
            <w:tab w:val="num" w:pos="2880"/>
          </w:tabs>
          <w:ind w:left="2880" w:hanging="360"/>
        </w:pPr>
        <w:rPr>
          <w:rFonts w:ascii="Symbol" w:hAnsi="Symbol" w:hint="default"/>
          <w:sz w:val="20"/>
        </w:rPr>
      </w:lvl>
    </w:lvlOverride>
  </w:num>
  <w:num w:numId="124" w16cid:durableId="1867476384">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25" w16cid:durableId="239101187">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26" w16cid:durableId="1966539816">
    <w:abstractNumId w:val="3"/>
    <w:lvlOverride w:ilvl="3">
      <w:lvl w:ilvl="3">
        <w:numFmt w:val="bullet"/>
        <w:lvlText w:val=""/>
        <w:lvlJc w:val="left"/>
        <w:pPr>
          <w:tabs>
            <w:tab w:val="num" w:pos="2880"/>
          </w:tabs>
          <w:ind w:left="2880" w:hanging="360"/>
        </w:pPr>
        <w:rPr>
          <w:rFonts w:ascii="Symbol" w:hAnsi="Symbol" w:hint="default"/>
          <w:sz w:val="20"/>
        </w:rPr>
      </w:lvl>
    </w:lvlOverride>
  </w:num>
  <w:num w:numId="127" w16cid:durableId="875849974">
    <w:abstractNumId w:val="3"/>
    <w:lvlOverride w:ilvl="3">
      <w:lvl w:ilvl="3">
        <w:numFmt w:val="bullet"/>
        <w:lvlText w:val=""/>
        <w:lvlJc w:val="left"/>
        <w:pPr>
          <w:tabs>
            <w:tab w:val="num" w:pos="2880"/>
          </w:tabs>
          <w:ind w:left="2880" w:hanging="360"/>
        </w:pPr>
        <w:rPr>
          <w:rFonts w:ascii="Symbol" w:hAnsi="Symbol" w:hint="default"/>
          <w:sz w:val="20"/>
        </w:rPr>
      </w:lvl>
    </w:lvlOverride>
  </w:num>
  <w:num w:numId="128" w16cid:durableId="1558711095">
    <w:abstractNumId w:val="3"/>
    <w:lvlOverride w:ilvl="3">
      <w:lvl w:ilvl="3">
        <w:numFmt w:val="bullet"/>
        <w:lvlText w:val=""/>
        <w:lvlJc w:val="left"/>
        <w:pPr>
          <w:tabs>
            <w:tab w:val="num" w:pos="2880"/>
          </w:tabs>
          <w:ind w:left="2880" w:hanging="360"/>
        </w:pPr>
        <w:rPr>
          <w:rFonts w:ascii="Symbol" w:hAnsi="Symbol" w:hint="default"/>
          <w:sz w:val="20"/>
        </w:rPr>
      </w:lvl>
    </w:lvlOverride>
  </w:num>
  <w:num w:numId="129" w16cid:durableId="1878395959">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30" w16cid:durableId="958226165">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31" w16cid:durableId="146482831">
    <w:abstractNumId w:val="3"/>
    <w:lvlOverride w:ilvl="3">
      <w:lvl w:ilvl="3">
        <w:numFmt w:val="bullet"/>
        <w:lvlText w:val=""/>
        <w:lvlJc w:val="left"/>
        <w:pPr>
          <w:tabs>
            <w:tab w:val="num" w:pos="2880"/>
          </w:tabs>
          <w:ind w:left="2880" w:hanging="360"/>
        </w:pPr>
        <w:rPr>
          <w:rFonts w:ascii="Symbol" w:hAnsi="Symbol" w:hint="default"/>
          <w:sz w:val="20"/>
        </w:rPr>
      </w:lvl>
    </w:lvlOverride>
  </w:num>
  <w:num w:numId="132" w16cid:durableId="121655466">
    <w:abstractNumId w:val="3"/>
    <w:lvlOverride w:ilvl="3">
      <w:lvl w:ilvl="3">
        <w:numFmt w:val="bullet"/>
        <w:lvlText w:val=""/>
        <w:lvlJc w:val="left"/>
        <w:pPr>
          <w:tabs>
            <w:tab w:val="num" w:pos="2880"/>
          </w:tabs>
          <w:ind w:left="2880" w:hanging="360"/>
        </w:pPr>
        <w:rPr>
          <w:rFonts w:ascii="Symbol" w:hAnsi="Symbol" w:hint="default"/>
          <w:sz w:val="20"/>
        </w:rPr>
      </w:lvl>
    </w:lvlOverride>
  </w:num>
  <w:num w:numId="133" w16cid:durableId="10618030">
    <w:abstractNumId w:val="3"/>
    <w:lvlOverride w:ilvl="3">
      <w:lvl w:ilvl="3">
        <w:numFmt w:val="bullet"/>
        <w:lvlText w:val=""/>
        <w:lvlJc w:val="left"/>
        <w:pPr>
          <w:tabs>
            <w:tab w:val="num" w:pos="2880"/>
          </w:tabs>
          <w:ind w:left="2880" w:hanging="360"/>
        </w:pPr>
        <w:rPr>
          <w:rFonts w:ascii="Symbol" w:hAnsi="Symbol" w:hint="default"/>
          <w:sz w:val="20"/>
        </w:rPr>
      </w:lvl>
    </w:lvlOverride>
  </w:num>
  <w:num w:numId="134" w16cid:durableId="873273705">
    <w:abstractNumId w:val="3"/>
    <w:lvlOverride w:ilvl="3">
      <w:lvl w:ilvl="3">
        <w:numFmt w:val="bullet"/>
        <w:lvlText w:val=""/>
        <w:lvlJc w:val="left"/>
        <w:pPr>
          <w:tabs>
            <w:tab w:val="num" w:pos="2880"/>
          </w:tabs>
          <w:ind w:left="2880" w:hanging="360"/>
        </w:pPr>
        <w:rPr>
          <w:rFonts w:ascii="Symbol" w:hAnsi="Symbol" w:hint="default"/>
          <w:sz w:val="20"/>
        </w:rPr>
      </w:lvl>
    </w:lvlOverride>
  </w:num>
  <w:num w:numId="135" w16cid:durableId="195630249">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36" w16cid:durableId="2118401480">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37" w16cid:durableId="540753600">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38" w16cid:durableId="1286547867">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39" w16cid:durableId="1374958012">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40" w16cid:durableId="1621692847">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41" w16cid:durableId="2059015286">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42" w16cid:durableId="987899878">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43" w16cid:durableId="818884788">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44" w16cid:durableId="322242113">
    <w:abstractNumId w:val="3"/>
    <w:lvlOverride w:ilvl="3">
      <w:lvl w:ilvl="3">
        <w:numFmt w:val="bullet"/>
        <w:lvlText w:val=""/>
        <w:lvlJc w:val="left"/>
        <w:pPr>
          <w:tabs>
            <w:tab w:val="num" w:pos="2880"/>
          </w:tabs>
          <w:ind w:left="2880" w:hanging="360"/>
        </w:pPr>
        <w:rPr>
          <w:rFonts w:ascii="Symbol" w:hAnsi="Symbol" w:hint="default"/>
          <w:sz w:val="20"/>
        </w:rPr>
      </w:lvl>
    </w:lvlOverride>
  </w:num>
  <w:num w:numId="145" w16cid:durableId="1692410762">
    <w:abstractNumId w:val="3"/>
    <w:lvlOverride w:ilvl="3">
      <w:lvl w:ilvl="3">
        <w:numFmt w:val="bullet"/>
        <w:lvlText w:val=""/>
        <w:lvlJc w:val="left"/>
        <w:pPr>
          <w:tabs>
            <w:tab w:val="num" w:pos="2880"/>
          </w:tabs>
          <w:ind w:left="2880" w:hanging="360"/>
        </w:pPr>
        <w:rPr>
          <w:rFonts w:ascii="Symbol" w:hAnsi="Symbol" w:hint="default"/>
          <w:sz w:val="20"/>
        </w:rPr>
      </w:lvl>
    </w:lvlOverride>
  </w:num>
  <w:num w:numId="146" w16cid:durableId="1281571620">
    <w:abstractNumId w:val="3"/>
    <w:lvlOverride w:ilvl="3">
      <w:lvl w:ilvl="3">
        <w:numFmt w:val="bullet"/>
        <w:lvlText w:val=""/>
        <w:lvlJc w:val="left"/>
        <w:pPr>
          <w:tabs>
            <w:tab w:val="num" w:pos="2880"/>
          </w:tabs>
          <w:ind w:left="2880" w:hanging="360"/>
        </w:pPr>
        <w:rPr>
          <w:rFonts w:ascii="Symbol" w:hAnsi="Symbol" w:hint="default"/>
          <w:sz w:val="20"/>
        </w:rPr>
      </w:lvl>
    </w:lvlOverride>
  </w:num>
  <w:num w:numId="147" w16cid:durableId="559823621">
    <w:abstractNumId w:val="3"/>
    <w:lvlOverride w:ilvl="3">
      <w:lvl w:ilvl="3">
        <w:numFmt w:val="bullet"/>
        <w:lvlText w:val=""/>
        <w:lvlJc w:val="left"/>
        <w:pPr>
          <w:tabs>
            <w:tab w:val="num" w:pos="2880"/>
          </w:tabs>
          <w:ind w:left="2880" w:hanging="360"/>
        </w:pPr>
        <w:rPr>
          <w:rFonts w:ascii="Symbol" w:hAnsi="Symbol" w:hint="default"/>
          <w:sz w:val="20"/>
        </w:rPr>
      </w:lvl>
    </w:lvlOverride>
  </w:num>
  <w:num w:numId="148" w16cid:durableId="664750668">
    <w:abstractNumId w:val="3"/>
    <w:lvlOverride w:ilvl="3">
      <w:lvl w:ilvl="3">
        <w:numFmt w:val="bullet"/>
        <w:lvlText w:val=""/>
        <w:lvlJc w:val="left"/>
        <w:pPr>
          <w:tabs>
            <w:tab w:val="num" w:pos="2880"/>
          </w:tabs>
          <w:ind w:left="2880" w:hanging="360"/>
        </w:pPr>
        <w:rPr>
          <w:rFonts w:ascii="Symbol" w:hAnsi="Symbol" w:hint="default"/>
          <w:sz w:val="20"/>
        </w:rPr>
      </w:lvl>
    </w:lvlOverride>
  </w:num>
  <w:num w:numId="149" w16cid:durableId="456025838">
    <w:abstractNumId w:val="3"/>
    <w:lvlOverride w:ilvl="3">
      <w:lvl w:ilvl="3">
        <w:numFmt w:val="bullet"/>
        <w:lvlText w:val=""/>
        <w:lvlJc w:val="left"/>
        <w:pPr>
          <w:tabs>
            <w:tab w:val="num" w:pos="2880"/>
          </w:tabs>
          <w:ind w:left="2880" w:hanging="360"/>
        </w:pPr>
        <w:rPr>
          <w:rFonts w:ascii="Symbol" w:hAnsi="Symbol" w:hint="default"/>
          <w:sz w:val="20"/>
        </w:rPr>
      </w:lvl>
    </w:lvlOverride>
  </w:num>
  <w:num w:numId="150" w16cid:durableId="339088055">
    <w:abstractNumId w:val="3"/>
    <w:lvlOverride w:ilvl="3">
      <w:lvl w:ilvl="3">
        <w:numFmt w:val="bullet"/>
        <w:lvlText w:val=""/>
        <w:lvlJc w:val="left"/>
        <w:pPr>
          <w:tabs>
            <w:tab w:val="num" w:pos="2880"/>
          </w:tabs>
          <w:ind w:left="2880" w:hanging="360"/>
        </w:pPr>
        <w:rPr>
          <w:rFonts w:ascii="Symbol" w:hAnsi="Symbol" w:hint="default"/>
          <w:sz w:val="20"/>
        </w:rPr>
      </w:lvl>
    </w:lvlOverride>
  </w:num>
  <w:num w:numId="151" w16cid:durableId="188033322">
    <w:abstractNumId w:val="3"/>
    <w:lvlOverride w:ilvl="3">
      <w:lvl w:ilvl="3">
        <w:numFmt w:val="bullet"/>
        <w:lvlText w:val=""/>
        <w:lvlJc w:val="left"/>
        <w:pPr>
          <w:tabs>
            <w:tab w:val="num" w:pos="2880"/>
          </w:tabs>
          <w:ind w:left="2880" w:hanging="360"/>
        </w:pPr>
        <w:rPr>
          <w:rFonts w:ascii="Symbol" w:hAnsi="Symbol" w:hint="default"/>
          <w:sz w:val="20"/>
        </w:rPr>
      </w:lvl>
    </w:lvlOverride>
  </w:num>
  <w:num w:numId="152" w16cid:durableId="515772527">
    <w:abstractNumId w:val="3"/>
    <w:lvlOverride w:ilvl="3">
      <w:lvl w:ilvl="3">
        <w:numFmt w:val="bullet"/>
        <w:lvlText w:val=""/>
        <w:lvlJc w:val="left"/>
        <w:pPr>
          <w:tabs>
            <w:tab w:val="num" w:pos="2880"/>
          </w:tabs>
          <w:ind w:left="2880" w:hanging="360"/>
        </w:pPr>
        <w:rPr>
          <w:rFonts w:ascii="Symbol" w:hAnsi="Symbol" w:hint="default"/>
          <w:sz w:val="20"/>
        </w:rPr>
      </w:lvl>
    </w:lvlOverride>
  </w:num>
  <w:num w:numId="153" w16cid:durableId="1297952759">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54" w16cid:durableId="1973897804">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55" w16cid:durableId="604269726">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56" w16cid:durableId="2055889540">
    <w:abstractNumId w:val="3"/>
    <w:lvlOverride w:ilvl="3">
      <w:lvl w:ilvl="3">
        <w:numFmt w:val="bullet"/>
        <w:lvlText w:val=""/>
        <w:lvlJc w:val="left"/>
        <w:pPr>
          <w:tabs>
            <w:tab w:val="num" w:pos="2880"/>
          </w:tabs>
          <w:ind w:left="2880" w:hanging="360"/>
        </w:pPr>
        <w:rPr>
          <w:rFonts w:ascii="Symbol" w:hAnsi="Symbol" w:hint="default"/>
          <w:sz w:val="20"/>
        </w:rPr>
      </w:lvl>
    </w:lvlOverride>
  </w:num>
  <w:num w:numId="157" w16cid:durableId="777263005">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58" w16cid:durableId="2003507495">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59" w16cid:durableId="1405033396">
    <w:abstractNumId w:val="3"/>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60" w16cid:durableId="361593312">
    <w:abstractNumId w:val="3"/>
    <w:lvlOverride w:ilvl="3">
      <w:lvl w:ilvl="3">
        <w:numFmt w:val="bullet"/>
        <w:lvlText w:val=""/>
        <w:lvlJc w:val="left"/>
        <w:pPr>
          <w:tabs>
            <w:tab w:val="num" w:pos="2880"/>
          </w:tabs>
          <w:ind w:left="2880" w:hanging="360"/>
        </w:pPr>
        <w:rPr>
          <w:rFonts w:ascii="Symbol" w:hAnsi="Symbol" w:hint="default"/>
          <w:sz w:val="20"/>
        </w:rPr>
      </w:lvl>
    </w:lvlOverride>
  </w:num>
  <w:num w:numId="161" w16cid:durableId="1226143123">
    <w:abstractNumId w:val="3"/>
    <w:lvlOverride w:ilvl="3">
      <w:lvl w:ilvl="3">
        <w:numFmt w:val="bullet"/>
        <w:lvlText w:val=""/>
        <w:lvlJc w:val="left"/>
        <w:pPr>
          <w:tabs>
            <w:tab w:val="num" w:pos="2880"/>
          </w:tabs>
          <w:ind w:left="2880" w:hanging="360"/>
        </w:pPr>
        <w:rPr>
          <w:rFonts w:ascii="Symbol" w:hAnsi="Symbol" w:hint="default"/>
          <w:sz w:val="20"/>
        </w:rPr>
      </w:lvl>
    </w:lvlOverride>
  </w:num>
  <w:num w:numId="162" w16cid:durableId="963344015">
    <w:abstractNumId w:val="3"/>
    <w:lvlOverride w:ilvl="3">
      <w:lvl w:ilvl="3">
        <w:numFmt w:val="bullet"/>
        <w:lvlText w:val=""/>
        <w:lvlJc w:val="left"/>
        <w:pPr>
          <w:tabs>
            <w:tab w:val="num" w:pos="2880"/>
          </w:tabs>
          <w:ind w:left="2880" w:hanging="360"/>
        </w:pPr>
        <w:rPr>
          <w:rFonts w:ascii="Symbol" w:hAnsi="Symbol" w:hint="default"/>
          <w:sz w:val="20"/>
        </w:rPr>
      </w:lvl>
    </w:lvlOverride>
  </w:num>
  <w:num w:numId="163" w16cid:durableId="1717003795">
    <w:abstractNumId w:val="3"/>
    <w:lvlOverride w:ilvl="3">
      <w:lvl w:ilvl="3">
        <w:numFmt w:val="bullet"/>
        <w:lvlText w:val=""/>
        <w:lvlJc w:val="left"/>
        <w:pPr>
          <w:tabs>
            <w:tab w:val="num" w:pos="2880"/>
          </w:tabs>
          <w:ind w:left="2880" w:hanging="360"/>
        </w:pPr>
        <w:rPr>
          <w:rFonts w:ascii="Symbol" w:hAnsi="Symbol" w:hint="default"/>
          <w:sz w:val="20"/>
        </w:rPr>
      </w:lvl>
    </w:lvlOverride>
  </w:num>
  <w:num w:numId="164" w16cid:durableId="574827779">
    <w:abstractNumId w:val="6"/>
  </w:num>
  <w:num w:numId="165" w16cid:durableId="739988156">
    <w:abstractNumId w:val="6"/>
    <w:lvlOverride w:ilvl="3">
      <w:lvl w:ilvl="3">
        <w:numFmt w:val="bullet"/>
        <w:lvlText w:val=""/>
        <w:lvlJc w:val="left"/>
        <w:pPr>
          <w:tabs>
            <w:tab w:val="num" w:pos="2880"/>
          </w:tabs>
          <w:ind w:left="2880" w:hanging="360"/>
        </w:pPr>
        <w:rPr>
          <w:rFonts w:ascii="Symbol" w:hAnsi="Symbol" w:hint="default"/>
          <w:sz w:val="20"/>
        </w:rPr>
      </w:lvl>
    </w:lvlOverride>
  </w:num>
  <w:num w:numId="166" w16cid:durableId="977958441">
    <w:abstractNumId w:val="6"/>
    <w:lvlOverride w:ilvl="3">
      <w:lvl w:ilvl="3">
        <w:numFmt w:val="bullet"/>
        <w:lvlText w:val=""/>
        <w:lvlJc w:val="left"/>
        <w:pPr>
          <w:tabs>
            <w:tab w:val="num" w:pos="2880"/>
          </w:tabs>
          <w:ind w:left="2880" w:hanging="360"/>
        </w:pPr>
        <w:rPr>
          <w:rFonts w:ascii="Symbol" w:hAnsi="Symbol" w:hint="default"/>
          <w:sz w:val="20"/>
        </w:rPr>
      </w:lvl>
    </w:lvlOverride>
  </w:num>
  <w:num w:numId="167" w16cid:durableId="32778460">
    <w:abstractNumId w:val="8"/>
  </w:num>
  <w:num w:numId="168" w16cid:durableId="1809589174">
    <w:abstractNumId w:val="7"/>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CC3"/>
    <w:rsid w:val="00000289"/>
    <w:rsid w:val="000009EB"/>
    <w:rsid w:val="00002194"/>
    <w:rsid w:val="00002541"/>
    <w:rsid w:val="00006F2B"/>
    <w:rsid w:val="000216B1"/>
    <w:rsid w:val="00034E3F"/>
    <w:rsid w:val="00050288"/>
    <w:rsid w:val="0005293D"/>
    <w:rsid w:val="00055090"/>
    <w:rsid w:val="00070C3E"/>
    <w:rsid w:val="00084B4D"/>
    <w:rsid w:val="00087AC4"/>
    <w:rsid w:val="000951BF"/>
    <w:rsid w:val="00095439"/>
    <w:rsid w:val="000A72D9"/>
    <w:rsid w:val="000B1B0F"/>
    <w:rsid w:val="000C7E39"/>
    <w:rsid w:val="000D5D23"/>
    <w:rsid w:val="000E48B4"/>
    <w:rsid w:val="000E7A68"/>
    <w:rsid w:val="000F0644"/>
    <w:rsid w:val="000F5645"/>
    <w:rsid w:val="0010271C"/>
    <w:rsid w:val="00110ABA"/>
    <w:rsid w:val="00111DE8"/>
    <w:rsid w:val="00111E83"/>
    <w:rsid w:val="00114DFB"/>
    <w:rsid w:val="00131F91"/>
    <w:rsid w:val="001324C5"/>
    <w:rsid w:val="0013315A"/>
    <w:rsid w:val="00146F48"/>
    <w:rsid w:val="00147410"/>
    <w:rsid w:val="00151F12"/>
    <w:rsid w:val="00163B05"/>
    <w:rsid w:val="001640C7"/>
    <w:rsid w:val="00171CC3"/>
    <w:rsid w:val="001732AA"/>
    <w:rsid w:val="0017367D"/>
    <w:rsid w:val="0017549C"/>
    <w:rsid w:val="00175796"/>
    <w:rsid w:val="0018204C"/>
    <w:rsid w:val="001A17A5"/>
    <w:rsid w:val="001A5F03"/>
    <w:rsid w:val="001C074F"/>
    <w:rsid w:val="001C3AA0"/>
    <w:rsid w:val="001C6D04"/>
    <w:rsid w:val="001D3758"/>
    <w:rsid w:val="001D485D"/>
    <w:rsid w:val="001D52B4"/>
    <w:rsid w:val="001F16EC"/>
    <w:rsid w:val="001F2395"/>
    <w:rsid w:val="002068E2"/>
    <w:rsid w:val="00213C83"/>
    <w:rsid w:val="00214EAB"/>
    <w:rsid w:val="00217E56"/>
    <w:rsid w:val="00222323"/>
    <w:rsid w:val="00232169"/>
    <w:rsid w:val="00234EA0"/>
    <w:rsid w:val="00236D1D"/>
    <w:rsid w:val="00244FDD"/>
    <w:rsid w:val="00255C58"/>
    <w:rsid w:val="00261E9C"/>
    <w:rsid w:val="00270308"/>
    <w:rsid w:val="00277C44"/>
    <w:rsid w:val="00282EC9"/>
    <w:rsid w:val="00284C10"/>
    <w:rsid w:val="00292E89"/>
    <w:rsid w:val="0029343B"/>
    <w:rsid w:val="002B2E6E"/>
    <w:rsid w:val="002C19CE"/>
    <w:rsid w:val="002C661D"/>
    <w:rsid w:val="002C7A14"/>
    <w:rsid w:val="002D3FFC"/>
    <w:rsid w:val="002E587A"/>
    <w:rsid w:val="002F4966"/>
    <w:rsid w:val="002F58B6"/>
    <w:rsid w:val="00310B8F"/>
    <w:rsid w:val="00311667"/>
    <w:rsid w:val="00312F3C"/>
    <w:rsid w:val="00317F44"/>
    <w:rsid w:val="00320403"/>
    <w:rsid w:val="00323429"/>
    <w:rsid w:val="0033442B"/>
    <w:rsid w:val="0034336B"/>
    <w:rsid w:val="00362E72"/>
    <w:rsid w:val="003632DD"/>
    <w:rsid w:val="00370721"/>
    <w:rsid w:val="00372252"/>
    <w:rsid w:val="0038314B"/>
    <w:rsid w:val="00384870"/>
    <w:rsid w:val="00385DE0"/>
    <w:rsid w:val="003934EF"/>
    <w:rsid w:val="003A2608"/>
    <w:rsid w:val="003A3BE8"/>
    <w:rsid w:val="003B2FCE"/>
    <w:rsid w:val="003B405F"/>
    <w:rsid w:val="003E1B92"/>
    <w:rsid w:val="003E5ADF"/>
    <w:rsid w:val="003E698F"/>
    <w:rsid w:val="003F0AB1"/>
    <w:rsid w:val="00400AA7"/>
    <w:rsid w:val="00401E90"/>
    <w:rsid w:val="004057BB"/>
    <w:rsid w:val="00405835"/>
    <w:rsid w:val="00407604"/>
    <w:rsid w:val="00413622"/>
    <w:rsid w:val="004145A9"/>
    <w:rsid w:val="0041548D"/>
    <w:rsid w:val="0041776D"/>
    <w:rsid w:val="004219F6"/>
    <w:rsid w:val="0043033F"/>
    <w:rsid w:val="00436A19"/>
    <w:rsid w:val="00436E7B"/>
    <w:rsid w:val="00437253"/>
    <w:rsid w:val="00446EA0"/>
    <w:rsid w:val="00450132"/>
    <w:rsid w:val="004503D5"/>
    <w:rsid w:val="00452D0D"/>
    <w:rsid w:val="0045426C"/>
    <w:rsid w:val="00466972"/>
    <w:rsid w:val="00467FD5"/>
    <w:rsid w:val="00474DCE"/>
    <w:rsid w:val="00476E5D"/>
    <w:rsid w:val="004807F3"/>
    <w:rsid w:val="0048304F"/>
    <w:rsid w:val="00485617"/>
    <w:rsid w:val="004876ED"/>
    <w:rsid w:val="00492153"/>
    <w:rsid w:val="00497B99"/>
    <w:rsid w:val="004A43EC"/>
    <w:rsid w:val="004A6CAF"/>
    <w:rsid w:val="004B711A"/>
    <w:rsid w:val="004B7D0A"/>
    <w:rsid w:val="004B7D63"/>
    <w:rsid w:val="004C0644"/>
    <w:rsid w:val="004C0821"/>
    <w:rsid w:val="004D2348"/>
    <w:rsid w:val="004D2403"/>
    <w:rsid w:val="004E3731"/>
    <w:rsid w:val="004E3830"/>
    <w:rsid w:val="004F0D94"/>
    <w:rsid w:val="004F1D8E"/>
    <w:rsid w:val="004F3B63"/>
    <w:rsid w:val="004F56DC"/>
    <w:rsid w:val="004F5EE3"/>
    <w:rsid w:val="004F6CF7"/>
    <w:rsid w:val="005027EC"/>
    <w:rsid w:val="00510459"/>
    <w:rsid w:val="0051220F"/>
    <w:rsid w:val="005226EB"/>
    <w:rsid w:val="005269B9"/>
    <w:rsid w:val="00533C35"/>
    <w:rsid w:val="005372E4"/>
    <w:rsid w:val="00541A38"/>
    <w:rsid w:val="00541FB8"/>
    <w:rsid w:val="00542D9D"/>
    <w:rsid w:val="0055003C"/>
    <w:rsid w:val="00554794"/>
    <w:rsid w:val="00554A16"/>
    <w:rsid w:val="005572CD"/>
    <w:rsid w:val="00563F86"/>
    <w:rsid w:val="00564D9D"/>
    <w:rsid w:val="005675D7"/>
    <w:rsid w:val="005703D6"/>
    <w:rsid w:val="00573DC5"/>
    <w:rsid w:val="00574C5A"/>
    <w:rsid w:val="005758C5"/>
    <w:rsid w:val="00581F2E"/>
    <w:rsid w:val="00581FB0"/>
    <w:rsid w:val="00587BC5"/>
    <w:rsid w:val="00594068"/>
    <w:rsid w:val="00596AA0"/>
    <w:rsid w:val="005A4D07"/>
    <w:rsid w:val="005A5076"/>
    <w:rsid w:val="005B1B78"/>
    <w:rsid w:val="005B1F33"/>
    <w:rsid w:val="005B5D37"/>
    <w:rsid w:val="005B66F8"/>
    <w:rsid w:val="005C3DC3"/>
    <w:rsid w:val="005D0A2F"/>
    <w:rsid w:val="005F1AC1"/>
    <w:rsid w:val="00627E28"/>
    <w:rsid w:val="0063092D"/>
    <w:rsid w:val="006315C5"/>
    <w:rsid w:val="00632482"/>
    <w:rsid w:val="00635D4D"/>
    <w:rsid w:val="00643E03"/>
    <w:rsid w:val="00644051"/>
    <w:rsid w:val="00645EAC"/>
    <w:rsid w:val="00647389"/>
    <w:rsid w:val="0064751A"/>
    <w:rsid w:val="006502EC"/>
    <w:rsid w:val="006522B1"/>
    <w:rsid w:val="00652714"/>
    <w:rsid w:val="006532CF"/>
    <w:rsid w:val="006629D0"/>
    <w:rsid w:val="006635AF"/>
    <w:rsid w:val="006661F8"/>
    <w:rsid w:val="00671635"/>
    <w:rsid w:val="00672EF0"/>
    <w:rsid w:val="006747AA"/>
    <w:rsid w:val="00674FEE"/>
    <w:rsid w:val="0067658B"/>
    <w:rsid w:val="00682D71"/>
    <w:rsid w:val="006837C1"/>
    <w:rsid w:val="00685654"/>
    <w:rsid w:val="006905E1"/>
    <w:rsid w:val="006C2777"/>
    <w:rsid w:val="006C570F"/>
    <w:rsid w:val="006C791A"/>
    <w:rsid w:val="006D1320"/>
    <w:rsid w:val="006D1B04"/>
    <w:rsid w:val="006D4720"/>
    <w:rsid w:val="006D4824"/>
    <w:rsid w:val="006D48CE"/>
    <w:rsid w:val="006E1546"/>
    <w:rsid w:val="006E2283"/>
    <w:rsid w:val="006E7273"/>
    <w:rsid w:val="006F357E"/>
    <w:rsid w:val="0070226E"/>
    <w:rsid w:val="00702342"/>
    <w:rsid w:val="00705F98"/>
    <w:rsid w:val="0071688B"/>
    <w:rsid w:val="007215D2"/>
    <w:rsid w:val="007230EC"/>
    <w:rsid w:val="0072344F"/>
    <w:rsid w:val="0072503A"/>
    <w:rsid w:val="007301A3"/>
    <w:rsid w:val="007320D1"/>
    <w:rsid w:val="00740D32"/>
    <w:rsid w:val="00741603"/>
    <w:rsid w:val="00741841"/>
    <w:rsid w:val="00742920"/>
    <w:rsid w:val="00742CF1"/>
    <w:rsid w:val="00745EEC"/>
    <w:rsid w:val="00747DAE"/>
    <w:rsid w:val="00752857"/>
    <w:rsid w:val="00760A91"/>
    <w:rsid w:val="007610DB"/>
    <w:rsid w:val="00764E03"/>
    <w:rsid w:val="007812DC"/>
    <w:rsid w:val="00785304"/>
    <w:rsid w:val="00797C79"/>
    <w:rsid w:val="007A34FE"/>
    <w:rsid w:val="007A409D"/>
    <w:rsid w:val="007A411C"/>
    <w:rsid w:val="007A4F76"/>
    <w:rsid w:val="007B4386"/>
    <w:rsid w:val="007C25F4"/>
    <w:rsid w:val="007C5A44"/>
    <w:rsid w:val="007E38D8"/>
    <w:rsid w:val="007F4F63"/>
    <w:rsid w:val="00811596"/>
    <w:rsid w:val="008169B9"/>
    <w:rsid w:val="00821D58"/>
    <w:rsid w:val="008224A5"/>
    <w:rsid w:val="00827A7B"/>
    <w:rsid w:val="00832A58"/>
    <w:rsid w:val="00833D5F"/>
    <w:rsid w:val="00834861"/>
    <w:rsid w:val="00835DAB"/>
    <w:rsid w:val="008378FA"/>
    <w:rsid w:val="00846004"/>
    <w:rsid w:val="00853AE4"/>
    <w:rsid w:val="008562BA"/>
    <w:rsid w:val="00856D17"/>
    <w:rsid w:val="008623DC"/>
    <w:rsid w:val="00867E8D"/>
    <w:rsid w:val="00883B3D"/>
    <w:rsid w:val="00892C1A"/>
    <w:rsid w:val="00892F25"/>
    <w:rsid w:val="008952B9"/>
    <w:rsid w:val="008A3E3B"/>
    <w:rsid w:val="008A7D57"/>
    <w:rsid w:val="008B38E2"/>
    <w:rsid w:val="008B66CF"/>
    <w:rsid w:val="008C42AD"/>
    <w:rsid w:val="008D39C3"/>
    <w:rsid w:val="008D3BB4"/>
    <w:rsid w:val="008D6C1A"/>
    <w:rsid w:val="008E134A"/>
    <w:rsid w:val="008E1C8A"/>
    <w:rsid w:val="008E33BB"/>
    <w:rsid w:val="008F0814"/>
    <w:rsid w:val="008F1491"/>
    <w:rsid w:val="008F3574"/>
    <w:rsid w:val="008F6DA5"/>
    <w:rsid w:val="008F7EDA"/>
    <w:rsid w:val="0090595D"/>
    <w:rsid w:val="00917608"/>
    <w:rsid w:val="0092568E"/>
    <w:rsid w:val="0092615D"/>
    <w:rsid w:val="00930C83"/>
    <w:rsid w:val="00934560"/>
    <w:rsid w:val="0093575C"/>
    <w:rsid w:val="00944973"/>
    <w:rsid w:val="009518D7"/>
    <w:rsid w:val="009551AB"/>
    <w:rsid w:val="00955626"/>
    <w:rsid w:val="00960DCB"/>
    <w:rsid w:val="00962F45"/>
    <w:rsid w:val="0096655A"/>
    <w:rsid w:val="00967F85"/>
    <w:rsid w:val="00972E5F"/>
    <w:rsid w:val="00973896"/>
    <w:rsid w:val="00976A51"/>
    <w:rsid w:val="009770C8"/>
    <w:rsid w:val="00977B41"/>
    <w:rsid w:val="009815F3"/>
    <w:rsid w:val="0098253C"/>
    <w:rsid w:val="00984FC0"/>
    <w:rsid w:val="009861C2"/>
    <w:rsid w:val="00990066"/>
    <w:rsid w:val="00997735"/>
    <w:rsid w:val="009A1CA5"/>
    <w:rsid w:val="009A1FD0"/>
    <w:rsid w:val="009A5611"/>
    <w:rsid w:val="009A65B2"/>
    <w:rsid w:val="009B2EC7"/>
    <w:rsid w:val="009B7E38"/>
    <w:rsid w:val="009C1F2E"/>
    <w:rsid w:val="009C2524"/>
    <w:rsid w:val="009C78D2"/>
    <w:rsid w:val="009C7DD7"/>
    <w:rsid w:val="009E5E17"/>
    <w:rsid w:val="009F51BE"/>
    <w:rsid w:val="009F67D8"/>
    <w:rsid w:val="009F7E38"/>
    <w:rsid w:val="00A05151"/>
    <w:rsid w:val="00A06D28"/>
    <w:rsid w:val="00A23CB1"/>
    <w:rsid w:val="00A31EC2"/>
    <w:rsid w:val="00A36FA7"/>
    <w:rsid w:val="00A45B1C"/>
    <w:rsid w:val="00A46203"/>
    <w:rsid w:val="00A510FE"/>
    <w:rsid w:val="00A52B40"/>
    <w:rsid w:val="00A54A77"/>
    <w:rsid w:val="00A54F54"/>
    <w:rsid w:val="00A57B22"/>
    <w:rsid w:val="00A653B4"/>
    <w:rsid w:val="00A674D1"/>
    <w:rsid w:val="00A70E7C"/>
    <w:rsid w:val="00A74550"/>
    <w:rsid w:val="00A77887"/>
    <w:rsid w:val="00A8078C"/>
    <w:rsid w:val="00A85AC1"/>
    <w:rsid w:val="00A862D2"/>
    <w:rsid w:val="00A9620B"/>
    <w:rsid w:val="00AA09A0"/>
    <w:rsid w:val="00AB6317"/>
    <w:rsid w:val="00AB7A46"/>
    <w:rsid w:val="00AC208E"/>
    <w:rsid w:val="00AC3734"/>
    <w:rsid w:val="00AC3D96"/>
    <w:rsid w:val="00AE372C"/>
    <w:rsid w:val="00B02432"/>
    <w:rsid w:val="00B125DE"/>
    <w:rsid w:val="00B1517C"/>
    <w:rsid w:val="00B15188"/>
    <w:rsid w:val="00B15619"/>
    <w:rsid w:val="00B23FE9"/>
    <w:rsid w:val="00B30CF8"/>
    <w:rsid w:val="00B317BA"/>
    <w:rsid w:val="00B34984"/>
    <w:rsid w:val="00B36AE9"/>
    <w:rsid w:val="00B45EED"/>
    <w:rsid w:val="00B60BDE"/>
    <w:rsid w:val="00B74CFC"/>
    <w:rsid w:val="00B77D2D"/>
    <w:rsid w:val="00B816C0"/>
    <w:rsid w:val="00B8376A"/>
    <w:rsid w:val="00B85E44"/>
    <w:rsid w:val="00B864D2"/>
    <w:rsid w:val="00B87B8F"/>
    <w:rsid w:val="00B87C5F"/>
    <w:rsid w:val="00B91CEC"/>
    <w:rsid w:val="00B92C2A"/>
    <w:rsid w:val="00B9346B"/>
    <w:rsid w:val="00B945C9"/>
    <w:rsid w:val="00BA7316"/>
    <w:rsid w:val="00BB10D4"/>
    <w:rsid w:val="00BB1A47"/>
    <w:rsid w:val="00BB3294"/>
    <w:rsid w:val="00BB6512"/>
    <w:rsid w:val="00BC07B2"/>
    <w:rsid w:val="00BC0C87"/>
    <w:rsid w:val="00BD3E6B"/>
    <w:rsid w:val="00BD6ABF"/>
    <w:rsid w:val="00BE6AD3"/>
    <w:rsid w:val="00BE6FAE"/>
    <w:rsid w:val="00BE7C22"/>
    <w:rsid w:val="00BF3791"/>
    <w:rsid w:val="00C03417"/>
    <w:rsid w:val="00C05525"/>
    <w:rsid w:val="00C05623"/>
    <w:rsid w:val="00C06F6B"/>
    <w:rsid w:val="00C11803"/>
    <w:rsid w:val="00C11B4C"/>
    <w:rsid w:val="00C142D2"/>
    <w:rsid w:val="00C15C77"/>
    <w:rsid w:val="00C20339"/>
    <w:rsid w:val="00C23085"/>
    <w:rsid w:val="00C2471A"/>
    <w:rsid w:val="00C3132D"/>
    <w:rsid w:val="00C3149B"/>
    <w:rsid w:val="00C44EC1"/>
    <w:rsid w:val="00C5183F"/>
    <w:rsid w:val="00C523F4"/>
    <w:rsid w:val="00C62571"/>
    <w:rsid w:val="00C70439"/>
    <w:rsid w:val="00C709F4"/>
    <w:rsid w:val="00C71E74"/>
    <w:rsid w:val="00C82C80"/>
    <w:rsid w:val="00C84EFE"/>
    <w:rsid w:val="00C86425"/>
    <w:rsid w:val="00C9120D"/>
    <w:rsid w:val="00C96407"/>
    <w:rsid w:val="00C96919"/>
    <w:rsid w:val="00CA4636"/>
    <w:rsid w:val="00CB0EDA"/>
    <w:rsid w:val="00CB4D37"/>
    <w:rsid w:val="00CB5E28"/>
    <w:rsid w:val="00CC0DA5"/>
    <w:rsid w:val="00CC2B10"/>
    <w:rsid w:val="00CD2097"/>
    <w:rsid w:val="00CD610B"/>
    <w:rsid w:val="00CD64B2"/>
    <w:rsid w:val="00CD77BC"/>
    <w:rsid w:val="00CE20F1"/>
    <w:rsid w:val="00CE393E"/>
    <w:rsid w:val="00CE56FF"/>
    <w:rsid w:val="00CF0A83"/>
    <w:rsid w:val="00CF1F36"/>
    <w:rsid w:val="00D00020"/>
    <w:rsid w:val="00D001BF"/>
    <w:rsid w:val="00D0049A"/>
    <w:rsid w:val="00D0674C"/>
    <w:rsid w:val="00D13DDD"/>
    <w:rsid w:val="00D17A44"/>
    <w:rsid w:val="00D242BA"/>
    <w:rsid w:val="00D25F21"/>
    <w:rsid w:val="00D26F9F"/>
    <w:rsid w:val="00D319BA"/>
    <w:rsid w:val="00D35663"/>
    <w:rsid w:val="00D36B7E"/>
    <w:rsid w:val="00D41FEF"/>
    <w:rsid w:val="00D602E7"/>
    <w:rsid w:val="00D7097F"/>
    <w:rsid w:val="00D73FF3"/>
    <w:rsid w:val="00D9029B"/>
    <w:rsid w:val="00DA133F"/>
    <w:rsid w:val="00DB19EA"/>
    <w:rsid w:val="00DB4210"/>
    <w:rsid w:val="00DB428A"/>
    <w:rsid w:val="00DB48B1"/>
    <w:rsid w:val="00DC1B0C"/>
    <w:rsid w:val="00DC6C71"/>
    <w:rsid w:val="00DD1951"/>
    <w:rsid w:val="00DE2BC6"/>
    <w:rsid w:val="00DF38F3"/>
    <w:rsid w:val="00DF7F2F"/>
    <w:rsid w:val="00E008DE"/>
    <w:rsid w:val="00E01AE9"/>
    <w:rsid w:val="00E03060"/>
    <w:rsid w:val="00E1012C"/>
    <w:rsid w:val="00E14BF4"/>
    <w:rsid w:val="00E15732"/>
    <w:rsid w:val="00E22BA1"/>
    <w:rsid w:val="00E36BFB"/>
    <w:rsid w:val="00E36E50"/>
    <w:rsid w:val="00E42974"/>
    <w:rsid w:val="00E51E1F"/>
    <w:rsid w:val="00E536A6"/>
    <w:rsid w:val="00E70CA5"/>
    <w:rsid w:val="00E768B3"/>
    <w:rsid w:val="00E86030"/>
    <w:rsid w:val="00E8768A"/>
    <w:rsid w:val="00E96D83"/>
    <w:rsid w:val="00EA55FE"/>
    <w:rsid w:val="00EB5152"/>
    <w:rsid w:val="00EC25ED"/>
    <w:rsid w:val="00EC3083"/>
    <w:rsid w:val="00EC42A6"/>
    <w:rsid w:val="00ED3544"/>
    <w:rsid w:val="00ED739E"/>
    <w:rsid w:val="00EE2944"/>
    <w:rsid w:val="00EE7D5B"/>
    <w:rsid w:val="00EF0772"/>
    <w:rsid w:val="00EF112B"/>
    <w:rsid w:val="00EF60ED"/>
    <w:rsid w:val="00F034BA"/>
    <w:rsid w:val="00F114E0"/>
    <w:rsid w:val="00F11EF3"/>
    <w:rsid w:val="00F1311D"/>
    <w:rsid w:val="00F13FFD"/>
    <w:rsid w:val="00F1578C"/>
    <w:rsid w:val="00F304BD"/>
    <w:rsid w:val="00F33FAC"/>
    <w:rsid w:val="00F360A6"/>
    <w:rsid w:val="00F36C54"/>
    <w:rsid w:val="00F4152B"/>
    <w:rsid w:val="00F41B3A"/>
    <w:rsid w:val="00F45E5D"/>
    <w:rsid w:val="00F524DA"/>
    <w:rsid w:val="00F525B1"/>
    <w:rsid w:val="00F52D8E"/>
    <w:rsid w:val="00F57795"/>
    <w:rsid w:val="00F57FC9"/>
    <w:rsid w:val="00F61B64"/>
    <w:rsid w:val="00F621A8"/>
    <w:rsid w:val="00F64756"/>
    <w:rsid w:val="00F67136"/>
    <w:rsid w:val="00F8288E"/>
    <w:rsid w:val="00F93319"/>
    <w:rsid w:val="00F94EF6"/>
    <w:rsid w:val="00F95A1F"/>
    <w:rsid w:val="00F96E21"/>
    <w:rsid w:val="00F97CFE"/>
    <w:rsid w:val="00FA0979"/>
    <w:rsid w:val="00FA3D8A"/>
    <w:rsid w:val="00FA4408"/>
    <w:rsid w:val="00FA7C17"/>
    <w:rsid w:val="00FB35AF"/>
    <w:rsid w:val="00FB396E"/>
    <w:rsid w:val="00FB6209"/>
    <w:rsid w:val="00FB772F"/>
    <w:rsid w:val="00FC1668"/>
    <w:rsid w:val="00FC1E7C"/>
    <w:rsid w:val="00FC2ADC"/>
    <w:rsid w:val="00FC554A"/>
    <w:rsid w:val="00FD42FF"/>
    <w:rsid w:val="00FE2ABC"/>
    <w:rsid w:val="00FE5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1F0F"/>
  <w15:chartTrackingRefBased/>
  <w15:docId w15:val="{BA3DBEAA-AC70-4E0D-960D-288322D3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6F8"/>
  </w:style>
  <w:style w:type="paragraph" w:styleId="Heading1">
    <w:name w:val="heading 1"/>
    <w:basedOn w:val="Normal"/>
    <w:next w:val="Normal"/>
    <w:link w:val="Heading1Char"/>
    <w:uiPriority w:val="9"/>
    <w:qFormat/>
    <w:rsid w:val="006502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C79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14B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171CC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171CC3"/>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171C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253C"/>
    <w:pPr>
      <w:ind w:left="720"/>
      <w:contextualSpacing/>
    </w:pPr>
  </w:style>
  <w:style w:type="character" w:styleId="Hyperlink">
    <w:name w:val="Hyperlink"/>
    <w:basedOn w:val="DefaultParagraphFont"/>
    <w:uiPriority w:val="99"/>
    <w:unhideWhenUsed/>
    <w:rsid w:val="00CE20F1"/>
    <w:rPr>
      <w:color w:val="0000FF"/>
      <w:u w:val="single"/>
    </w:rPr>
  </w:style>
  <w:style w:type="character" w:customStyle="1" w:styleId="Heading1Char">
    <w:name w:val="Heading 1 Char"/>
    <w:basedOn w:val="DefaultParagraphFont"/>
    <w:link w:val="Heading1"/>
    <w:uiPriority w:val="9"/>
    <w:rsid w:val="006502EC"/>
    <w:rPr>
      <w:rFonts w:asciiTheme="majorHAnsi" w:eastAsiaTheme="majorEastAsia" w:hAnsiTheme="majorHAnsi" w:cstheme="majorBidi"/>
      <w:color w:val="2F5496" w:themeColor="accent1" w:themeShade="BF"/>
      <w:sz w:val="32"/>
      <w:szCs w:val="32"/>
    </w:rPr>
  </w:style>
  <w:style w:type="paragraph" w:customStyle="1" w:styleId="Default">
    <w:name w:val="Default"/>
    <w:rsid w:val="00B60BDE"/>
    <w:pPr>
      <w:autoSpaceDE w:val="0"/>
      <w:autoSpaceDN w:val="0"/>
      <w:adjustRightInd w:val="0"/>
      <w:spacing w:after="0" w:line="240" w:lineRule="auto"/>
    </w:pPr>
    <w:rPr>
      <w:rFonts w:ascii="Montserrat" w:hAnsi="Montserrat" w:cs="Montserrat"/>
      <w:color w:val="000000"/>
      <w:kern w:val="0"/>
      <w:sz w:val="24"/>
      <w:szCs w:val="24"/>
    </w:rPr>
  </w:style>
  <w:style w:type="paragraph" w:styleId="NormalWeb">
    <w:name w:val="Normal (Web)"/>
    <w:basedOn w:val="Normal"/>
    <w:uiPriority w:val="99"/>
    <w:unhideWhenUsed/>
    <w:rsid w:val="004219F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6C791A"/>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72344F"/>
    <w:rPr>
      <w:color w:val="605E5C"/>
      <w:shd w:val="clear" w:color="auto" w:fill="E1DFDD"/>
    </w:rPr>
  </w:style>
  <w:style w:type="character" w:customStyle="1" w:styleId="Heading3Char">
    <w:name w:val="Heading 3 Char"/>
    <w:basedOn w:val="DefaultParagraphFont"/>
    <w:link w:val="Heading3"/>
    <w:uiPriority w:val="9"/>
    <w:semiHidden/>
    <w:rsid w:val="00E14BF4"/>
    <w:rPr>
      <w:rFonts w:asciiTheme="majorHAnsi" w:eastAsiaTheme="majorEastAsia" w:hAnsiTheme="majorHAnsi" w:cstheme="majorBidi"/>
      <w:color w:val="1F3763" w:themeColor="accent1" w:themeShade="7F"/>
      <w:sz w:val="24"/>
      <w:szCs w:val="24"/>
    </w:rPr>
  </w:style>
  <w:style w:type="paragraph" w:customStyle="1" w:styleId="msonormal0">
    <w:name w:val="msonormal"/>
    <w:basedOn w:val="Normal"/>
    <w:rsid w:val="00E860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tglist1">
    <w:name w:val="otglist1"/>
    <w:basedOn w:val="Normal"/>
    <w:rsid w:val="00E860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E86030"/>
    <w:rPr>
      <w:color w:val="800080"/>
      <w:u w:val="single"/>
    </w:rPr>
  </w:style>
  <w:style w:type="paragraph" w:customStyle="1" w:styleId="otglist2">
    <w:name w:val="otglist2"/>
    <w:basedOn w:val="Normal"/>
    <w:rsid w:val="00E860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tglist3">
    <w:name w:val="otglist3"/>
    <w:basedOn w:val="Normal"/>
    <w:rsid w:val="00E860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tglist4">
    <w:name w:val="otglist4"/>
    <w:basedOn w:val="Normal"/>
    <w:rsid w:val="00E860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tglist5">
    <w:name w:val="otglist5"/>
    <w:basedOn w:val="Normal"/>
    <w:rsid w:val="00E860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otglist6">
    <w:name w:val="otglist6"/>
    <w:basedOn w:val="Normal"/>
    <w:rsid w:val="00E8603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wrap">
    <w:name w:val="nowrap"/>
    <w:basedOn w:val="DefaultParagraphFont"/>
    <w:rsid w:val="00E86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343">
      <w:bodyDiv w:val="1"/>
      <w:marLeft w:val="0"/>
      <w:marRight w:val="0"/>
      <w:marTop w:val="0"/>
      <w:marBottom w:val="0"/>
      <w:divBdr>
        <w:top w:val="none" w:sz="0" w:space="0" w:color="auto"/>
        <w:left w:val="none" w:sz="0" w:space="0" w:color="auto"/>
        <w:bottom w:val="none" w:sz="0" w:space="0" w:color="auto"/>
        <w:right w:val="none" w:sz="0" w:space="0" w:color="auto"/>
      </w:divBdr>
    </w:div>
    <w:div w:id="276257240">
      <w:bodyDiv w:val="1"/>
      <w:marLeft w:val="0"/>
      <w:marRight w:val="0"/>
      <w:marTop w:val="0"/>
      <w:marBottom w:val="0"/>
      <w:divBdr>
        <w:top w:val="none" w:sz="0" w:space="0" w:color="auto"/>
        <w:left w:val="none" w:sz="0" w:space="0" w:color="auto"/>
        <w:bottom w:val="none" w:sz="0" w:space="0" w:color="auto"/>
        <w:right w:val="none" w:sz="0" w:space="0" w:color="auto"/>
      </w:divBdr>
      <w:divsChild>
        <w:div w:id="2032104896">
          <w:marLeft w:val="0"/>
          <w:marRight w:val="0"/>
          <w:marTop w:val="0"/>
          <w:marBottom w:val="0"/>
          <w:divBdr>
            <w:top w:val="none" w:sz="0" w:space="0" w:color="auto"/>
            <w:left w:val="none" w:sz="0" w:space="0" w:color="auto"/>
            <w:bottom w:val="none" w:sz="0" w:space="0" w:color="auto"/>
            <w:right w:val="none" w:sz="0" w:space="0" w:color="auto"/>
          </w:divBdr>
        </w:div>
        <w:div w:id="1480270175">
          <w:marLeft w:val="0"/>
          <w:marRight w:val="0"/>
          <w:marTop w:val="0"/>
          <w:marBottom w:val="0"/>
          <w:divBdr>
            <w:top w:val="none" w:sz="0" w:space="0" w:color="auto"/>
            <w:left w:val="none" w:sz="0" w:space="0" w:color="auto"/>
            <w:bottom w:val="none" w:sz="0" w:space="0" w:color="auto"/>
            <w:right w:val="none" w:sz="0" w:space="0" w:color="auto"/>
          </w:divBdr>
        </w:div>
        <w:div w:id="1278877995">
          <w:marLeft w:val="0"/>
          <w:marRight w:val="0"/>
          <w:marTop w:val="0"/>
          <w:marBottom w:val="0"/>
          <w:divBdr>
            <w:top w:val="none" w:sz="0" w:space="0" w:color="auto"/>
            <w:left w:val="none" w:sz="0" w:space="0" w:color="auto"/>
            <w:bottom w:val="none" w:sz="0" w:space="0" w:color="auto"/>
            <w:right w:val="none" w:sz="0" w:space="0" w:color="auto"/>
          </w:divBdr>
        </w:div>
      </w:divsChild>
    </w:div>
    <w:div w:id="419564383">
      <w:bodyDiv w:val="1"/>
      <w:marLeft w:val="0"/>
      <w:marRight w:val="0"/>
      <w:marTop w:val="0"/>
      <w:marBottom w:val="0"/>
      <w:divBdr>
        <w:top w:val="none" w:sz="0" w:space="0" w:color="auto"/>
        <w:left w:val="none" w:sz="0" w:space="0" w:color="auto"/>
        <w:bottom w:val="none" w:sz="0" w:space="0" w:color="auto"/>
        <w:right w:val="none" w:sz="0" w:space="0" w:color="auto"/>
      </w:divBdr>
    </w:div>
    <w:div w:id="434133202">
      <w:bodyDiv w:val="1"/>
      <w:marLeft w:val="0"/>
      <w:marRight w:val="0"/>
      <w:marTop w:val="0"/>
      <w:marBottom w:val="0"/>
      <w:divBdr>
        <w:top w:val="none" w:sz="0" w:space="0" w:color="auto"/>
        <w:left w:val="none" w:sz="0" w:space="0" w:color="auto"/>
        <w:bottom w:val="none" w:sz="0" w:space="0" w:color="auto"/>
        <w:right w:val="none" w:sz="0" w:space="0" w:color="auto"/>
      </w:divBdr>
      <w:divsChild>
        <w:div w:id="877620910">
          <w:marLeft w:val="0"/>
          <w:marRight w:val="0"/>
          <w:marTop w:val="0"/>
          <w:marBottom w:val="0"/>
          <w:divBdr>
            <w:top w:val="none" w:sz="0" w:space="0" w:color="auto"/>
            <w:left w:val="none" w:sz="0" w:space="0" w:color="auto"/>
            <w:bottom w:val="none" w:sz="0" w:space="0" w:color="auto"/>
            <w:right w:val="none" w:sz="0" w:space="0" w:color="auto"/>
          </w:divBdr>
        </w:div>
        <w:div w:id="842084637">
          <w:marLeft w:val="0"/>
          <w:marRight w:val="0"/>
          <w:marTop w:val="0"/>
          <w:marBottom w:val="0"/>
          <w:divBdr>
            <w:top w:val="none" w:sz="0" w:space="0" w:color="auto"/>
            <w:left w:val="none" w:sz="0" w:space="0" w:color="auto"/>
            <w:bottom w:val="none" w:sz="0" w:space="0" w:color="auto"/>
            <w:right w:val="none" w:sz="0" w:space="0" w:color="auto"/>
          </w:divBdr>
        </w:div>
        <w:div w:id="708797648">
          <w:marLeft w:val="0"/>
          <w:marRight w:val="0"/>
          <w:marTop w:val="0"/>
          <w:marBottom w:val="0"/>
          <w:divBdr>
            <w:top w:val="none" w:sz="0" w:space="0" w:color="auto"/>
            <w:left w:val="none" w:sz="0" w:space="0" w:color="auto"/>
            <w:bottom w:val="none" w:sz="0" w:space="0" w:color="auto"/>
            <w:right w:val="none" w:sz="0" w:space="0" w:color="auto"/>
          </w:divBdr>
        </w:div>
        <w:div w:id="632831998">
          <w:marLeft w:val="0"/>
          <w:marRight w:val="0"/>
          <w:marTop w:val="0"/>
          <w:marBottom w:val="0"/>
          <w:divBdr>
            <w:top w:val="none" w:sz="0" w:space="0" w:color="auto"/>
            <w:left w:val="none" w:sz="0" w:space="0" w:color="auto"/>
            <w:bottom w:val="none" w:sz="0" w:space="0" w:color="auto"/>
            <w:right w:val="none" w:sz="0" w:space="0" w:color="auto"/>
          </w:divBdr>
        </w:div>
      </w:divsChild>
    </w:div>
    <w:div w:id="511145814">
      <w:bodyDiv w:val="1"/>
      <w:marLeft w:val="0"/>
      <w:marRight w:val="0"/>
      <w:marTop w:val="0"/>
      <w:marBottom w:val="0"/>
      <w:divBdr>
        <w:top w:val="none" w:sz="0" w:space="0" w:color="auto"/>
        <w:left w:val="none" w:sz="0" w:space="0" w:color="auto"/>
        <w:bottom w:val="none" w:sz="0" w:space="0" w:color="auto"/>
        <w:right w:val="none" w:sz="0" w:space="0" w:color="auto"/>
      </w:divBdr>
    </w:div>
    <w:div w:id="529802215">
      <w:bodyDiv w:val="1"/>
      <w:marLeft w:val="0"/>
      <w:marRight w:val="0"/>
      <w:marTop w:val="0"/>
      <w:marBottom w:val="0"/>
      <w:divBdr>
        <w:top w:val="none" w:sz="0" w:space="0" w:color="auto"/>
        <w:left w:val="none" w:sz="0" w:space="0" w:color="auto"/>
        <w:bottom w:val="none" w:sz="0" w:space="0" w:color="auto"/>
        <w:right w:val="none" w:sz="0" w:space="0" w:color="auto"/>
      </w:divBdr>
    </w:div>
    <w:div w:id="591939893">
      <w:bodyDiv w:val="1"/>
      <w:marLeft w:val="0"/>
      <w:marRight w:val="0"/>
      <w:marTop w:val="0"/>
      <w:marBottom w:val="0"/>
      <w:divBdr>
        <w:top w:val="none" w:sz="0" w:space="0" w:color="auto"/>
        <w:left w:val="none" w:sz="0" w:space="0" w:color="auto"/>
        <w:bottom w:val="none" w:sz="0" w:space="0" w:color="auto"/>
        <w:right w:val="none" w:sz="0" w:space="0" w:color="auto"/>
      </w:divBdr>
    </w:div>
    <w:div w:id="619336146">
      <w:bodyDiv w:val="1"/>
      <w:marLeft w:val="0"/>
      <w:marRight w:val="0"/>
      <w:marTop w:val="0"/>
      <w:marBottom w:val="0"/>
      <w:divBdr>
        <w:top w:val="none" w:sz="0" w:space="0" w:color="auto"/>
        <w:left w:val="none" w:sz="0" w:space="0" w:color="auto"/>
        <w:bottom w:val="none" w:sz="0" w:space="0" w:color="auto"/>
        <w:right w:val="none" w:sz="0" w:space="0" w:color="auto"/>
      </w:divBdr>
    </w:div>
    <w:div w:id="683216393">
      <w:bodyDiv w:val="1"/>
      <w:marLeft w:val="0"/>
      <w:marRight w:val="0"/>
      <w:marTop w:val="0"/>
      <w:marBottom w:val="0"/>
      <w:divBdr>
        <w:top w:val="none" w:sz="0" w:space="0" w:color="auto"/>
        <w:left w:val="none" w:sz="0" w:space="0" w:color="auto"/>
        <w:bottom w:val="none" w:sz="0" w:space="0" w:color="auto"/>
        <w:right w:val="none" w:sz="0" w:space="0" w:color="auto"/>
      </w:divBdr>
    </w:div>
    <w:div w:id="739332473">
      <w:bodyDiv w:val="1"/>
      <w:marLeft w:val="0"/>
      <w:marRight w:val="0"/>
      <w:marTop w:val="0"/>
      <w:marBottom w:val="0"/>
      <w:divBdr>
        <w:top w:val="none" w:sz="0" w:space="0" w:color="auto"/>
        <w:left w:val="none" w:sz="0" w:space="0" w:color="auto"/>
        <w:bottom w:val="none" w:sz="0" w:space="0" w:color="auto"/>
        <w:right w:val="none" w:sz="0" w:space="0" w:color="auto"/>
      </w:divBdr>
    </w:div>
    <w:div w:id="745611673">
      <w:bodyDiv w:val="1"/>
      <w:marLeft w:val="0"/>
      <w:marRight w:val="0"/>
      <w:marTop w:val="0"/>
      <w:marBottom w:val="0"/>
      <w:divBdr>
        <w:top w:val="none" w:sz="0" w:space="0" w:color="auto"/>
        <w:left w:val="none" w:sz="0" w:space="0" w:color="auto"/>
        <w:bottom w:val="none" w:sz="0" w:space="0" w:color="auto"/>
        <w:right w:val="none" w:sz="0" w:space="0" w:color="auto"/>
      </w:divBdr>
      <w:divsChild>
        <w:div w:id="111021994">
          <w:marLeft w:val="0"/>
          <w:marRight w:val="0"/>
          <w:marTop w:val="0"/>
          <w:marBottom w:val="0"/>
          <w:divBdr>
            <w:top w:val="none" w:sz="0" w:space="0" w:color="auto"/>
            <w:left w:val="none" w:sz="0" w:space="0" w:color="auto"/>
            <w:bottom w:val="none" w:sz="0" w:space="0" w:color="auto"/>
            <w:right w:val="none" w:sz="0" w:space="0" w:color="auto"/>
          </w:divBdr>
        </w:div>
        <w:div w:id="304818651">
          <w:marLeft w:val="0"/>
          <w:marRight w:val="0"/>
          <w:marTop w:val="0"/>
          <w:marBottom w:val="0"/>
          <w:divBdr>
            <w:top w:val="none" w:sz="0" w:space="0" w:color="auto"/>
            <w:left w:val="none" w:sz="0" w:space="0" w:color="auto"/>
            <w:bottom w:val="none" w:sz="0" w:space="0" w:color="auto"/>
            <w:right w:val="none" w:sz="0" w:space="0" w:color="auto"/>
          </w:divBdr>
        </w:div>
        <w:div w:id="1428697431">
          <w:marLeft w:val="0"/>
          <w:marRight w:val="0"/>
          <w:marTop w:val="0"/>
          <w:marBottom w:val="0"/>
          <w:divBdr>
            <w:top w:val="none" w:sz="0" w:space="0" w:color="auto"/>
            <w:left w:val="none" w:sz="0" w:space="0" w:color="auto"/>
            <w:bottom w:val="none" w:sz="0" w:space="0" w:color="auto"/>
            <w:right w:val="none" w:sz="0" w:space="0" w:color="auto"/>
          </w:divBdr>
        </w:div>
        <w:div w:id="158624383">
          <w:marLeft w:val="0"/>
          <w:marRight w:val="0"/>
          <w:marTop w:val="0"/>
          <w:marBottom w:val="0"/>
          <w:divBdr>
            <w:top w:val="none" w:sz="0" w:space="0" w:color="auto"/>
            <w:left w:val="none" w:sz="0" w:space="0" w:color="auto"/>
            <w:bottom w:val="none" w:sz="0" w:space="0" w:color="auto"/>
            <w:right w:val="none" w:sz="0" w:space="0" w:color="auto"/>
          </w:divBdr>
        </w:div>
      </w:divsChild>
    </w:div>
    <w:div w:id="776370018">
      <w:bodyDiv w:val="1"/>
      <w:marLeft w:val="0"/>
      <w:marRight w:val="0"/>
      <w:marTop w:val="0"/>
      <w:marBottom w:val="0"/>
      <w:divBdr>
        <w:top w:val="none" w:sz="0" w:space="0" w:color="auto"/>
        <w:left w:val="none" w:sz="0" w:space="0" w:color="auto"/>
        <w:bottom w:val="none" w:sz="0" w:space="0" w:color="auto"/>
        <w:right w:val="none" w:sz="0" w:space="0" w:color="auto"/>
      </w:divBdr>
      <w:divsChild>
        <w:div w:id="1002468883">
          <w:marLeft w:val="0"/>
          <w:marRight w:val="0"/>
          <w:marTop w:val="0"/>
          <w:marBottom w:val="0"/>
          <w:divBdr>
            <w:top w:val="none" w:sz="0" w:space="0" w:color="auto"/>
            <w:left w:val="none" w:sz="0" w:space="0" w:color="auto"/>
            <w:bottom w:val="none" w:sz="0" w:space="0" w:color="auto"/>
            <w:right w:val="none" w:sz="0" w:space="0" w:color="auto"/>
          </w:divBdr>
        </w:div>
        <w:div w:id="1562980729">
          <w:marLeft w:val="0"/>
          <w:marRight w:val="0"/>
          <w:marTop w:val="0"/>
          <w:marBottom w:val="0"/>
          <w:divBdr>
            <w:top w:val="none" w:sz="0" w:space="0" w:color="auto"/>
            <w:left w:val="none" w:sz="0" w:space="0" w:color="auto"/>
            <w:bottom w:val="none" w:sz="0" w:space="0" w:color="auto"/>
            <w:right w:val="none" w:sz="0" w:space="0" w:color="auto"/>
          </w:divBdr>
        </w:div>
        <w:div w:id="789783256">
          <w:marLeft w:val="0"/>
          <w:marRight w:val="0"/>
          <w:marTop w:val="0"/>
          <w:marBottom w:val="0"/>
          <w:divBdr>
            <w:top w:val="none" w:sz="0" w:space="0" w:color="auto"/>
            <w:left w:val="none" w:sz="0" w:space="0" w:color="auto"/>
            <w:bottom w:val="none" w:sz="0" w:space="0" w:color="auto"/>
            <w:right w:val="none" w:sz="0" w:space="0" w:color="auto"/>
          </w:divBdr>
        </w:div>
        <w:div w:id="610287342">
          <w:marLeft w:val="0"/>
          <w:marRight w:val="0"/>
          <w:marTop w:val="0"/>
          <w:marBottom w:val="0"/>
          <w:divBdr>
            <w:top w:val="none" w:sz="0" w:space="0" w:color="auto"/>
            <w:left w:val="none" w:sz="0" w:space="0" w:color="auto"/>
            <w:bottom w:val="none" w:sz="0" w:space="0" w:color="auto"/>
            <w:right w:val="none" w:sz="0" w:space="0" w:color="auto"/>
          </w:divBdr>
        </w:div>
        <w:div w:id="245505257">
          <w:marLeft w:val="0"/>
          <w:marRight w:val="0"/>
          <w:marTop w:val="0"/>
          <w:marBottom w:val="0"/>
          <w:divBdr>
            <w:top w:val="none" w:sz="0" w:space="0" w:color="auto"/>
            <w:left w:val="none" w:sz="0" w:space="0" w:color="auto"/>
            <w:bottom w:val="none" w:sz="0" w:space="0" w:color="auto"/>
            <w:right w:val="none" w:sz="0" w:space="0" w:color="auto"/>
          </w:divBdr>
        </w:div>
        <w:div w:id="2020307554">
          <w:marLeft w:val="0"/>
          <w:marRight w:val="0"/>
          <w:marTop w:val="0"/>
          <w:marBottom w:val="0"/>
          <w:divBdr>
            <w:top w:val="none" w:sz="0" w:space="0" w:color="auto"/>
            <w:left w:val="none" w:sz="0" w:space="0" w:color="auto"/>
            <w:bottom w:val="none" w:sz="0" w:space="0" w:color="auto"/>
            <w:right w:val="none" w:sz="0" w:space="0" w:color="auto"/>
          </w:divBdr>
        </w:div>
        <w:div w:id="458959289">
          <w:marLeft w:val="0"/>
          <w:marRight w:val="0"/>
          <w:marTop w:val="0"/>
          <w:marBottom w:val="0"/>
          <w:divBdr>
            <w:top w:val="none" w:sz="0" w:space="0" w:color="auto"/>
            <w:left w:val="none" w:sz="0" w:space="0" w:color="auto"/>
            <w:bottom w:val="none" w:sz="0" w:space="0" w:color="auto"/>
            <w:right w:val="none" w:sz="0" w:space="0" w:color="auto"/>
          </w:divBdr>
        </w:div>
      </w:divsChild>
    </w:div>
    <w:div w:id="861669655">
      <w:bodyDiv w:val="1"/>
      <w:marLeft w:val="0"/>
      <w:marRight w:val="0"/>
      <w:marTop w:val="0"/>
      <w:marBottom w:val="0"/>
      <w:divBdr>
        <w:top w:val="none" w:sz="0" w:space="0" w:color="auto"/>
        <w:left w:val="none" w:sz="0" w:space="0" w:color="auto"/>
        <w:bottom w:val="none" w:sz="0" w:space="0" w:color="auto"/>
        <w:right w:val="none" w:sz="0" w:space="0" w:color="auto"/>
      </w:divBdr>
    </w:div>
    <w:div w:id="925654710">
      <w:bodyDiv w:val="1"/>
      <w:marLeft w:val="0"/>
      <w:marRight w:val="0"/>
      <w:marTop w:val="0"/>
      <w:marBottom w:val="0"/>
      <w:divBdr>
        <w:top w:val="none" w:sz="0" w:space="0" w:color="auto"/>
        <w:left w:val="none" w:sz="0" w:space="0" w:color="auto"/>
        <w:bottom w:val="none" w:sz="0" w:space="0" w:color="auto"/>
        <w:right w:val="none" w:sz="0" w:space="0" w:color="auto"/>
      </w:divBdr>
    </w:div>
    <w:div w:id="953169378">
      <w:bodyDiv w:val="1"/>
      <w:marLeft w:val="0"/>
      <w:marRight w:val="0"/>
      <w:marTop w:val="0"/>
      <w:marBottom w:val="0"/>
      <w:divBdr>
        <w:top w:val="none" w:sz="0" w:space="0" w:color="auto"/>
        <w:left w:val="none" w:sz="0" w:space="0" w:color="auto"/>
        <w:bottom w:val="none" w:sz="0" w:space="0" w:color="auto"/>
        <w:right w:val="none" w:sz="0" w:space="0" w:color="auto"/>
      </w:divBdr>
    </w:div>
    <w:div w:id="1107850867">
      <w:bodyDiv w:val="1"/>
      <w:marLeft w:val="0"/>
      <w:marRight w:val="0"/>
      <w:marTop w:val="0"/>
      <w:marBottom w:val="0"/>
      <w:divBdr>
        <w:top w:val="none" w:sz="0" w:space="0" w:color="auto"/>
        <w:left w:val="none" w:sz="0" w:space="0" w:color="auto"/>
        <w:bottom w:val="none" w:sz="0" w:space="0" w:color="auto"/>
        <w:right w:val="none" w:sz="0" w:space="0" w:color="auto"/>
      </w:divBdr>
    </w:div>
    <w:div w:id="1154955578">
      <w:bodyDiv w:val="1"/>
      <w:marLeft w:val="0"/>
      <w:marRight w:val="0"/>
      <w:marTop w:val="0"/>
      <w:marBottom w:val="0"/>
      <w:divBdr>
        <w:top w:val="none" w:sz="0" w:space="0" w:color="auto"/>
        <w:left w:val="none" w:sz="0" w:space="0" w:color="auto"/>
        <w:bottom w:val="none" w:sz="0" w:space="0" w:color="auto"/>
        <w:right w:val="none" w:sz="0" w:space="0" w:color="auto"/>
      </w:divBdr>
    </w:div>
    <w:div w:id="1189177971">
      <w:bodyDiv w:val="1"/>
      <w:marLeft w:val="0"/>
      <w:marRight w:val="0"/>
      <w:marTop w:val="0"/>
      <w:marBottom w:val="0"/>
      <w:divBdr>
        <w:top w:val="none" w:sz="0" w:space="0" w:color="auto"/>
        <w:left w:val="none" w:sz="0" w:space="0" w:color="auto"/>
        <w:bottom w:val="none" w:sz="0" w:space="0" w:color="auto"/>
        <w:right w:val="none" w:sz="0" w:space="0" w:color="auto"/>
      </w:divBdr>
    </w:div>
    <w:div w:id="1205755162">
      <w:bodyDiv w:val="1"/>
      <w:marLeft w:val="0"/>
      <w:marRight w:val="0"/>
      <w:marTop w:val="0"/>
      <w:marBottom w:val="0"/>
      <w:divBdr>
        <w:top w:val="none" w:sz="0" w:space="0" w:color="auto"/>
        <w:left w:val="none" w:sz="0" w:space="0" w:color="auto"/>
        <w:bottom w:val="none" w:sz="0" w:space="0" w:color="auto"/>
        <w:right w:val="none" w:sz="0" w:space="0" w:color="auto"/>
      </w:divBdr>
    </w:div>
    <w:div w:id="1257518561">
      <w:bodyDiv w:val="1"/>
      <w:marLeft w:val="0"/>
      <w:marRight w:val="0"/>
      <w:marTop w:val="0"/>
      <w:marBottom w:val="0"/>
      <w:divBdr>
        <w:top w:val="none" w:sz="0" w:space="0" w:color="auto"/>
        <w:left w:val="none" w:sz="0" w:space="0" w:color="auto"/>
        <w:bottom w:val="none" w:sz="0" w:space="0" w:color="auto"/>
        <w:right w:val="none" w:sz="0" w:space="0" w:color="auto"/>
      </w:divBdr>
      <w:divsChild>
        <w:div w:id="78215890">
          <w:marLeft w:val="0"/>
          <w:marRight w:val="0"/>
          <w:marTop w:val="0"/>
          <w:marBottom w:val="0"/>
          <w:divBdr>
            <w:top w:val="none" w:sz="0" w:space="0" w:color="auto"/>
            <w:left w:val="none" w:sz="0" w:space="0" w:color="auto"/>
            <w:bottom w:val="none" w:sz="0" w:space="0" w:color="auto"/>
            <w:right w:val="none" w:sz="0" w:space="0" w:color="auto"/>
          </w:divBdr>
        </w:div>
        <w:div w:id="1728841023">
          <w:marLeft w:val="0"/>
          <w:marRight w:val="0"/>
          <w:marTop w:val="0"/>
          <w:marBottom w:val="0"/>
          <w:divBdr>
            <w:top w:val="none" w:sz="0" w:space="0" w:color="auto"/>
            <w:left w:val="none" w:sz="0" w:space="0" w:color="auto"/>
            <w:bottom w:val="none" w:sz="0" w:space="0" w:color="auto"/>
            <w:right w:val="none" w:sz="0" w:space="0" w:color="auto"/>
          </w:divBdr>
        </w:div>
        <w:div w:id="1360550897">
          <w:marLeft w:val="0"/>
          <w:marRight w:val="0"/>
          <w:marTop w:val="0"/>
          <w:marBottom w:val="0"/>
          <w:divBdr>
            <w:top w:val="none" w:sz="0" w:space="0" w:color="auto"/>
            <w:left w:val="none" w:sz="0" w:space="0" w:color="auto"/>
            <w:bottom w:val="none" w:sz="0" w:space="0" w:color="auto"/>
            <w:right w:val="none" w:sz="0" w:space="0" w:color="auto"/>
          </w:divBdr>
        </w:div>
        <w:div w:id="1390107694">
          <w:marLeft w:val="0"/>
          <w:marRight w:val="0"/>
          <w:marTop w:val="0"/>
          <w:marBottom w:val="0"/>
          <w:divBdr>
            <w:top w:val="none" w:sz="0" w:space="0" w:color="auto"/>
            <w:left w:val="none" w:sz="0" w:space="0" w:color="auto"/>
            <w:bottom w:val="none" w:sz="0" w:space="0" w:color="auto"/>
            <w:right w:val="none" w:sz="0" w:space="0" w:color="auto"/>
          </w:divBdr>
        </w:div>
        <w:div w:id="1939829907">
          <w:marLeft w:val="0"/>
          <w:marRight w:val="0"/>
          <w:marTop w:val="0"/>
          <w:marBottom w:val="0"/>
          <w:divBdr>
            <w:top w:val="none" w:sz="0" w:space="0" w:color="auto"/>
            <w:left w:val="none" w:sz="0" w:space="0" w:color="auto"/>
            <w:bottom w:val="none" w:sz="0" w:space="0" w:color="auto"/>
            <w:right w:val="none" w:sz="0" w:space="0" w:color="auto"/>
          </w:divBdr>
        </w:div>
        <w:div w:id="752317926">
          <w:marLeft w:val="0"/>
          <w:marRight w:val="0"/>
          <w:marTop w:val="0"/>
          <w:marBottom w:val="0"/>
          <w:divBdr>
            <w:top w:val="none" w:sz="0" w:space="0" w:color="auto"/>
            <w:left w:val="none" w:sz="0" w:space="0" w:color="auto"/>
            <w:bottom w:val="none" w:sz="0" w:space="0" w:color="auto"/>
            <w:right w:val="none" w:sz="0" w:space="0" w:color="auto"/>
          </w:divBdr>
        </w:div>
        <w:div w:id="761074951">
          <w:marLeft w:val="0"/>
          <w:marRight w:val="0"/>
          <w:marTop w:val="0"/>
          <w:marBottom w:val="0"/>
          <w:divBdr>
            <w:top w:val="none" w:sz="0" w:space="0" w:color="auto"/>
            <w:left w:val="none" w:sz="0" w:space="0" w:color="auto"/>
            <w:bottom w:val="none" w:sz="0" w:space="0" w:color="auto"/>
            <w:right w:val="none" w:sz="0" w:space="0" w:color="auto"/>
          </w:divBdr>
        </w:div>
      </w:divsChild>
    </w:div>
    <w:div w:id="1305888390">
      <w:bodyDiv w:val="1"/>
      <w:marLeft w:val="0"/>
      <w:marRight w:val="0"/>
      <w:marTop w:val="0"/>
      <w:marBottom w:val="0"/>
      <w:divBdr>
        <w:top w:val="none" w:sz="0" w:space="0" w:color="auto"/>
        <w:left w:val="none" w:sz="0" w:space="0" w:color="auto"/>
        <w:bottom w:val="none" w:sz="0" w:space="0" w:color="auto"/>
        <w:right w:val="none" w:sz="0" w:space="0" w:color="auto"/>
      </w:divBdr>
    </w:div>
    <w:div w:id="1354107451">
      <w:bodyDiv w:val="1"/>
      <w:marLeft w:val="0"/>
      <w:marRight w:val="0"/>
      <w:marTop w:val="0"/>
      <w:marBottom w:val="0"/>
      <w:divBdr>
        <w:top w:val="none" w:sz="0" w:space="0" w:color="auto"/>
        <w:left w:val="none" w:sz="0" w:space="0" w:color="auto"/>
        <w:bottom w:val="none" w:sz="0" w:space="0" w:color="auto"/>
        <w:right w:val="none" w:sz="0" w:space="0" w:color="auto"/>
      </w:divBdr>
    </w:div>
    <w:div w:id="1362629833">
      <w:bodyDiv w:val="1"/>
      <w:marLeft w:val="0"/>
      <w:marRight w:val="0"/>
      <w:marTop w:val="0"/>
      <w:marBottom w:val="0"/>
      <w:divBdr>
        <w:top w:val="none" w:sz="0" w:space="0" w:color="auto"/>
        <w:left w:val="none" w:sz="0" w:space="0" w:color="auto"/>
        <w:bottom w:val="none" w:sz="0" w:space="0" w:color="auto"/>
        <w:right w:val="none" w:sz="0" w:space="0" w:color="auto"/>
      </w:divBdr>
    </w:div>
    <w:div w:id="1399207120">
      <w:bodyDiv w:val="1"/>
      <w:marLeft w:val="0"/>
      <w:marRight w:val="0"/>
      <w:marTop w:val="0"/>
      <w:marBottom w:val="0"/>
      <w:divBdr>
        <w:top w:val="none" w:sz="0" w:space="0" w:color="auto"/>
        <w:left w:val="none" w:sz="0" w:space="0" w:color="auto"/>
        <w:bottom w:val="none" w:sz="0" w:space="0" w:color="auto"/>
        <w:right w:val="none" w:sz="0" w:space="0" w:color="auto"/>
      </w:divBdr>
    </w:div>
    <w:div w:id="1411193699">
      <w:bodyDiv w:val="1"/>
      <w:marLeft w:val="0"/>
      <w:marRight w:val="0"/>
      <w:marTop w:val="0"/>
      <w:marBottom w:val="0"/>
      <w:divBdr>
        <w:top w:val="none" w:sz="0" w:space="0" w:color="auto"/>
        <w:left w:val="none" w:sz="0" w:space="0" w:color="auto"/>
        <w:bottom w:val="none" w:sz="0" w:space="0" w:color="auto"/>
        <w:right w:val="none" w:sz="0" w:space="0" w:color="auto"/>
      </w:divBdr>
    </w:div>
    <w:div w:id="1557155775">
      <w:bodyDiv w:val="1"/>
      <w:marLeft w:val="0"/>
      <w:marRight w:val="0"/>
      <w:marTop w:val="0"/>
      <w:marBottom w:val="0"/>
      <w:divBdr>
        <w:top w:val="none" w:sz="0" w:space="0" w:color="auto"/>
        <w:left w:val="none" w:sz="0" w:space="0" w:color="auto"/>
        <w:bottom w:val="none" w:sz="0" w:space="0" w:color="auto"/>
        <w:right w:val="none" w:sz="0" w:space="0" w:color="auto"/>
      </w:divBdr>
      <w:divsChild>
        <w:div w:id="1125655072">
          <w:marLeft w:val="0"/>
          <w:marRight w:val="0"/>
          <w:marTop w:val="0"/>
          <w:marBottom w:val="0"/>
          <w:divBdr>
            <w:top w:val="none" w:sz="0" w:space="0" w:color="auto"/>
            <w:left w:val="none" w:sz="0" w:space="0" w:color="auto"/>
            <w:bottom w:val="none" w:sz="0" w:space="0" w:color="auto"/>
            <w:right w:val="none" w:sz="0" w:space="0" w:color="auto"/>
          </w:divBdr>
        </w:div>
        <w:div w:id="2051563673">
          <w:marLeft w:val="0"/>
          <w:marRight w:val="0"/>
          <w:marTop w:val="0"/>
          <w:marBottom w:val="0"/>
          <w:divBdr>
            <w:top w:val="none" w:sz="0" w:space="0" w:color="auto"/>
            <w:left w:val="none" w:sz="0" w:space="0" w:color="auto"/>
            <w:bottom w:val="none" w:sz="0" w:space="0" w:color="auto"/>
            <w:right w:val="none" w:sz="0" w:space="0" w:color="auto"/>
          </w:divBdr>
        </w:div>
        <w:div w:id="1858813055">
          <w:marLeft w:val="0"/>
          <w:marRight w:val="0"/>
          <w:marTop w:val="0"/>
          <w:marBottom w:val="0"/>
          <w:divBdr>
            <w:top w:val="none" w:sz="0" w:space="0" w:color="auto"/>
            <w:left w:val="none" w:sz="0" w:space="0" w:color="auto"/>
            <w:bottom w:val="none" w:sz="0" w:space="0" w:color="auto"/>
            <w:right w:val="none" w:sz="0" w:space="0" w:color="auto"/>
          </w:divBdr>
        </w:div>
      </w:divsChild>
    </w:div>
    <w:div w:id="1762985413">
      <w:bodyDiv w:val="1"/>
      <w:marLeft w:val="0"/>
      <w:marRight w:val="0"/>
      <w:marTop w:val="0"/>
      <w:marBottom w:val="0"/>
      <w:divBdr>
        <w:top w:val="none" w:sz="0" w:space="0" w:color="auto"/>
        <w:left w:val="none" w:sz="0" w:space="0" w:color="auto"/>
        <w:bottom w:val="none" w:sz="0" w:space="0" w:color="auto"/>
        <w:right w:val="none" w:sz="0" w:space="0" w:color="auto"/>
      </w:divBdr>
    </w:div>
    <w:div w:id="1866750457">
      <w:bodyDiv w:val="1"/>
      <w:marLeft w:val="0"/>
      <w:marRight w:val="0"/>
      <w:marTop w:val="0"/>
      <w:marBottom w:val="0"/>
      <w:divBdr>
        <w:top w:val="none" w:sz="0" w:space="0" w:color="auto"/>
        <w:left w:val="none" w:sz="0" w:space="0" w:color="auto"/>
        <w:bottom w:val="none" w:sz="0" w:space="0" w:color="auto"/>
        <w:right w:val="none" w:sz="0" w:space="0" w:color="auto"/>
      </w:divBdr>
    </w:div>
    <w:div w:id="1869297748">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40211319">
      <w:bodyDiv w:val="1"/>
      <w:marLeft w:val="0"/>
      <w:marRight w:val="0"/>
      <w:marTop w:val="0"/>
      <w:marBottom w:val="0"/>
      <w:divBdr>
        <w:top w:val="none" w:sz="0" w:space="0" w:color="auto"/>
        <w:left w:val="none" w:sz="0" w:space="0" w:color="auto"/>
        <w:bottom w:val="none" w:sz="0" w:space="0" w:color="auto"/>
        <w:right w:val="none" w:sz="0" w:space="0" w:color="auto"/>
      </w:divBdr>
      <w:divsChild>
        <w:div w:id="448401374">
          <w:marLeft w:val="0"/>
          <w:marRight w:val="0"/>
          <w:marTop w:val="0"/>
          <w:marBottom w:val="0"/>
          <w:divBdr>
            <w:top w:val="none" w:sz="0" w:space="0" w:color="auto"/>
            <w:left w:val="none" w:sz="0" w:space="0" w:color="auto"/>
            <w:bottom w:val="none" w:sz="0" w:space="0" w:color="auto"/>
            <w:right w:val="none" w:sz="0" w:space="0" w:color="auto"/>
          </w:divBdr>
        </w:div>
        <w:div w:id="1087114707">
          <w:marLeft w:val="0"/>
          <w:marRight w:val="0"/>
          <w:marTop w:val="0"/>
          <w:marBottom w:val="0"/>
          <w:divBdr>
            <w:top w:val="none" w:sz="0" w:space="0" w:color="auto"/>
            <w:left w:val="none" w:sz="0" w:space="0" w:color="auto"/>
            <w:bottom w:val="none" w:sz="0" w:space="0" w:color="auto"/>
            <w:right w:val="none" w:sz="0" w:space="0" w:color="auto"/>
          </w:divBdr>
        </w:div>
        <w:div w:id="882331096">
          <w:marLeft w:val="0"/>
          <w:marRight w:val="0"/>
          <w:marTop w:val="0"/>
          <w:marBottom w:val="0"/>
          <w:divBdr>
            <w:top w:val="none" w:sz="0" w:space="0" w:color="auto"/>
            <w:left w:val="none" w:sz="0" w:space="0" w:color="auto"/>
            <w:bottom w:val="none" w:sz="0" w:space="0" w:color="auto"/>
            <w:right w:val="none" w:sz="0" w:space="0" w:color="auto"/>
          </w:divBdr>
        </w:div>
      </w:divsChild>
    </w:div>
    <w:div w:id="1959408416">
      <w:bodyDiv w:val="1"/>
      <w:marLeft w:val="0"/>
      <w:marRight w:val="0"/>
      <w:marTop w:val="0"/>
      <w:marBottom w:val="0"/>
      <w:divBdr>
        <w:top w:val="none" w:sz="0" w:space="0" w:color="auto"/>
        <w:left w:val="none" w:sz="0" w:space="0" w:color="auto"/>
        <w:bottom w:val="none" w:sz="0" w:space="0" w:color="auto"/>
        <w:right w:val="none" w:sz="0" w:space="0" w:color="auto"/>
      </w:divBdr>
      <w:divsChild>
        <w:div w:id="347876137">
          <w:marLeft w:val="0"/>
          <w:marRight w:val="0"/>
          <w:marTop w:val="0"/>
          <w:marBottom w:val="0"/>
          <w:divBdr>
            <w:top w:val="none" w:sz="0" w:space="0" w:color="auto"/>
            <w:left w:val="none" w:sz="0" w:space="0" w:color="auto"/>
            <w:bottom w:val="none" w:sz="0" w:space="0" w:color="auto"/>
            <w:right w:val="none" w:sz="0" w:space="0" w:color="auto"/>
          </w:divBdr>
        </w:div>
        <w:div w:id="1400403742">
          <w:marLeft w:val="0"/>
          <w:marRight w:val="0"/>
          <w:marTop w:val="0"/>
          <w:marBottom w:val="0"/>
          <w:divBdr>
            <w:top w:val="none" w:sz="0" w:space="0" w:color="auto"/>
            <w:left w:val="none" w:sz="0" w:space="0" w:color="auto"/>
            <w:bottom w:val="none" w:sz="0" w:space="0" w:color="auto"/>
            <w:right w:val="none" w:sz="0" w:space="0" w:color="auto"/>
          </w:divBdr>
        </w:div>
        <w:div w:id="445349400">
          <w:marLeft w:val="0"/>
          <w:marRight w:val="0"/>
          <w:marTop w:val="0"/>
          <w:marBottom w:val="0"/>
          <w:divBdr>
            <w:top w:val="none" w:sz="0" w:space="0" w:color="auto"/>
            <w:left w:val="none" w:sz="0" w:space="0" w:color="auto"/>
            <w:bottom w:val="none" w:sz="0" w:space="0" w:color="auto"/>
            <w:right w:val="none" w:sz="0" w:space="0" w:color="auto"/>
          </w:divBdr>
        </w:div>
        <w:div w:id="605967200">
          <w:marLeft w:val="0"/>
          <w:marRight w:val="0"/>
          <w:marTop w:val="0"/>
          <w:marBottom w:val="0"/>
          <w:divBdr>
            <w:top w:val="none" w:sz="0" w:space="0" w:color="auto"/>
            <w:left w:val="none" w:sz="0" w:space="0" w:color="auto"/>
            <w:bottom w:val="none" w:sz="0" w:space="0" w:color="auto"/>
            <w:right w:val="none" w:sz="0" w:space="0" w:color="auto"/>
          </w:divBdr>
        </w:div>
        <w:div w:id="248316658">
          <w:marLeft w:val="0"/>
          <w:marRight w:val="0"/>
          <w:marTop w:val="0"/>
          <w:marBottom w:val="0"/>
          <w:divBdr>
            <w:top w:val="none" w:sz="0" w:space="0" w:color="auto"/>
            <w:left w:val="none" w:sz="0" w:space="0" w:color="auto"/>
            <w:bottom w:val="none" w:sz="0" w:space="0" w:color="auto"/>
            <w:right w:val="none" w:sz="0" w:space="0" w:color="auto"/>
          </w:divBdr>
        </w:div>
        <w:div w:id="1136030292">
          <w:marLeft w:val="0"/>
          <w:marRight w:val="0"/>
          <w:marTop w:val="0"/>
          <w:marBottom w:val="0"/>
          <w:divBdr>
            <w:top w:val="none" w:sz="0" w:space="0" w:color="auto"/>
            <w:left w:val="none" w:sz="0" w:space="0" w:color="auto"/>
            <w:bottom w:val="none" w:sz="0" w:space="0" w:color="auto"/>
            <w:right w:val="none" w:sz="0" w:space="0" w:color="auto"/>
          </w:divBdr>
        </w:div>
        <w:div w:id="1958370834">
          <w:marLeft w:val="0"/>
          <w:marRight w:val="0"/>
          <w:marTop w:val="0"/>
          <w:marBottom w:val="0"/>
          <w:divBdr>
            <w:top w:val="none" w:sz="0" w:space="0" w:color="auto"/>
            <w:left w:val="none" w:sz="0" w:space="0" w:color="auto"/>
            <w:bottom w:val="none" w:sz="0" w:space="0" w:color="auto"/>
            <w:right w:val="none" w:sz="0" w:space="0" w:color="auto"/>
          </w:divBdr>
        </w:div>
      </w:divsChild>
    </w:div>
    <w:div w:id="1973057545">
      <w:bodyDiv w:val="1"/>
      <w:marLeft w:val="0"/>
      <w:marRight w:val="0"/>
      <w:marTop w:val="0"/>
      <w:marBottom w:val="0"/>
      <w:divBdr>
        <w:top w:val="none" w:sz="0" w:space="0" w:color="auto"/>
        <w:left w:val="none" w:sz="0" w:space="0" w:color="auto"/>
        <w:bottom w:val="none" w:sz="0" w:space="0" w:color="auto"/>
        <w:right w:val="none" w:sz="0" w:space="0" w:color="auto"/>
      </w:divBdr>
    </w:div>
    <w:div w:id="1991519294">
      <w:bodyDiv w:val="1"/>
      <w:marLeft w:val="0"/>
      <w:marRight w:val="0"/>
      <w:marTop w:val="0"/>
      <w:marBottom w:val="0"/>
      <w:divBdr>
        <w:top w:val="none" w:sz="0" w:space="0" w:color="auto"/>
        <w:left w:val="none" w:sz="0" w:space="0" w:color="auto"/>
        <w:bottom w:val="none" w:sz="0" w:space="0" w:color="auto"/>
        <w:right w:val="none" w:sz="0" w:space="0" w:color="auto"/>
      </w:divBdr>
      <w:divsChild>
        <w:div w:id="1224874865">
          <w:marLeft w:val="0"/>
          <w:marRight w:val="0"/>
          <w:marTop w:val="0"/>
          <w:marBottom w:val="0"/>
          <w:divBdr>
            <w:top w:val="none" w:sz="0" w:space="0" w:color="auto"/>
            <w:left w:val="none" w:sz="0" w:space="0" w:color="auto"/>
            <w:bottom w:val="none" w:sz="0" w:space="0" w:color="auto"/>
            <w:right w:val="none" w:sz="0" w:space="0" w:color="auto"/>
          </w:divBdr>
        </w:div>
        <w:div w:id="1026325956">
          <w:marLeft w:val="0"/>
          <w:marRight w:val="0"/>
          <w:marTop w:val="0"/>
          <w:marBottom w:val="0"/>
          <w:divBdr>
            <w:top w:val="none" w:sz="0" w:space="0" w:color="auto"/>
            <w:left w:val="none" w:sz="0" w:space="0" w:color="auto"/>
            <w:bottom w:val="none" w:sz="0" w:space="0" w:color="auto"/>
            <w:right w:val="none" w:sz="0" w:space="0" w:color="auto"/>
          </w:divBdr>
        </w:div>
        <w:div w:id="1881897112">
          <w:marLeft w:val="0"/>
          <w:marRight w:val="0"/>
          <w:marTop w:val="0"/>
          <w:marBottom w:val="0"/>
          <w:divBdr>
            <w:top w:val="none" w:sz="0" w:space="0" w:color="auto"/>
            <w:left w:val="none" w:sz="0" w:space="0" w:color="auto"/>
            <w:bottom w:val="none" w:sz="0" w:space="0" w:color="auto"/>
            <w:right w:val="none" w:sz="0" w:space="0" w:color="auto"/>
          </w:divBdr>
        </w:div>
        <w:div w:id="1740253685">
          <w:marLeft w:val="0"/>
          <w:marRight w:val="0"/>
          <w:marTop w:val="0"/>
          <w:marBottom w:val="0"/>
          <w:divBdr>
            <w:top w:val="none" w:sz="0" w:space="0" w:color="auto"/>
            <w:left w:val="none" w:sz="0" w:space="0" w:color="auto"/>
            <w:bottom w:val="none" w:sz="0" w:space="0" w:color="auto"/>
            <w:right w:val="none" w:sz="0" w:space="0" w:color="auto"/>
          </w:divBdr>
        </w:div>
        <w:div w:id="145904288">
          <w:marLeft w:val="0"/>
          <w:marRight w:val="0"/>
          <w:marTop w:val="0"/>
          <w:marBottom w:val="0"/>
          <w:divBdr>
            <w:top w:val="none" w:sz="0" w:space="0" w:color="auto"/>
            <w:left w:val="none" w:sz="0" w:space="0" w:color="auto"/>
            <w:bottom w:val="none" w:sz="0" w:space="0" w:color="auto"/>
            <w:right w:val="none" w:sz="0" w:space="0" w:color="auto"/>
          </w:divBdr>
        </w:div>
        <w:div w:id="2022244721">
          <w:marLeft w:val="0"/>
          <w:marRight w:val="0"/>
          <w:marTop w:val="0"/>
          <w:marBottom w:val="0"/>
          <w:divBdr>
            <w:top w:val="none" w:sz="0" w:space="0" w:color="auto"/>
            <w:left w:val="none" w:sz="0" w:space="0" w:color="auto"/>
            <w:bottom w:val="none" w:sz="0" w:space="0" w:color="auto"/>
            <w:right w:val="none" w:sz="0" w:space="0" w:color="auto"/>
          </w:divBdr>
        </w:div>
        <w:div w:id="209810410">
          <w:marLeft w:val="0"/>
          <w:marRight w:val="0"/>
          <w:marTop w:val="0"/>
          <w:marBottom w:val="0"/>
          <w:divBdr>
            <w:top w:val="none" w:sz="0" w:space="0" w:color="auto"/>
            <w:left w:val="none" w:sz="0" w:space="0" w:color="auto"/>
            <w:bottom w:val="none" w:sz="0" w:space="0" w:color="auto"/>
            <w:right w:val="none" w:sz="0" w:space="0" w:color="auto"/>
          </w:divBdr>
        </w:div>
      </w:divsChild>
    </w:div>
    <w:div w:id="2099713236">
      <w:bodyDiv w:val="1"/>
      <w:marLeft w:val="0"/>
      <w:marRight w:val="0"/>
      <w:marTop w:val="0"/>
      <w:marBottom w:val="0"/>
      <w:divBdr>
        <w:top w:val="none" w:sz="0" w:space="0" w:color="auto"/>
        <w:left w:val="none" w:sz="0" w:space="0" w:color="auto"/>
        <w:bottom w:val="none" w:sz="0" w:space="0" w:color="auto"/>
        <w:right w:val="none" w:sz="0" w:space="0" w:color="auto"/>
      </w:divBdr>
      <w:divsChild>
        <w:div w:id="900016817">
          <w:marLeft w:val="0"/>
          <w:marRight w:val="0"/>
          <w:marTop w:val="0"/>
          <w:marBottom w:val="0"/>
          <w:divBdr>
            <w:top w:val="none" w:sz="0" w:space="0" w:color="auto"/>
            <w:left w:val="none" w:sz="0" w:space="0" w:color="auto"/>
            <w:bottom w:val="none" w:sz="0" w:space="0" w:color="auto"/>
            <w:right w:val="none" w:sz="0" w:space="0" w:color="auto"/>
          </w:divBdr>
        </w:div>
        <w:div w:id="44567953">
          <w:marLeft w:val="0"/>
          <w:marRight w:val="0"/>
          <w:marTop w:val="0"/>
          <w:marBottom w:val="0"/>
          <w:divBdr>
            <w:top w:val="none" w:sz="0" w:space="0" w:color="auto"/>
            <w:left w:val="none" w:sz="0" w:space="0" w:color="auto"/>
            <w:bottom w:val="none" w:sz="0" w:space="0" w:color="auto"/>
            <w:right w:val="none" w:sz="0" w:space="0" w:color="auto"/>
          </w:divBdr>
        </w:div>
        <w:div w:id="1303121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ms.gov/medicare-coverage-database/view/lcd.aspx?lcdid=37176&amp;ver=57&amp;keyword=colony%20stimulating%20factors&amp;keywordType=starts&amp;areaId=all&amp;docType=NCA,CAL,NCD,MEDCAC,TA,MCD,6,3,5,1,F,P&amp;contractOption=all&amp;sortBy=relevance&amp;bc=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cessdata.fda.gov/drugsatfda_docs/label/2018/761075s000lbl.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xadvance.carewebqi.com/GuidelineViewer.aspx/cver28.0/ac/ac04_039.htm?args=AQAAANCMnd8BFdERjHoAwE_Cl-sBAAAAtogmHFeQDkyCDKJTPYzHqAQAAAACAAAAAAAQZgAAAAEAACAAAABSw014fTbIT9xBfZGD7oQ27UdrHHohxGiWPDiG_X16FAAAAAAOgAAAAAIAACAAAADWCRmU6kNWireg9wywavp3zP0Wc0MQ0QHCqmSuLtSLsRAAAABFIQP5nTlZGvS6Q02ApMlbQAAAANAUS3qHxwopHafBRnKmssyvB3eGMdMzG8FbBFiP8uQPj8iHrslkICwZy7ZASwaI0RxVYhLXbtqp3XH2q7ShoFs1" TargetMode="External"/><Relationship Id="rId5" Type="http://schemas.openxmlformats.org/officeDocument/2006/relationships/numbering" Target="numbering.xml"/><Relationship Id="rId15" Type="http://schemas.openxmlformats.org/officeDocument/2006/relationships/hyperlink" Target="https://www.cms.gov/medicare/payment/part-b-drugs/asp-pricing-files" TargetMode="Externa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eternalhealth.com/wp-content/uploads/2022/10/eternalHealth_MA-Part-B-PA-List-eff-1-1-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73728796F1AF49AA5EE7049D0CA2DC" ma:contentTypeVersion="14" ma:contentTypeDescription="Create a new document." ma:contentTypeScope="" ma:versionID="65de5af41dbab921a85d81f10df3da20">
  <xsd:schema xmlns:xsd="http://www.w3.org/2001/XMLSchema" xmlns:xs="http://www.w3.org/2001/XMLSchema" xmlns:p="http://schemas.microsoft.com/office/2006/metadata/properties" xmlns:ns2="febe0462-7ad9-4cf3-8274-aa0cc4f080f3" xmlns:ns3="2498f20f-782f-4f87-afd5-421022d6a89d" targetNamespace="http://schemas.microsoft.com/office/2006/metadata/properties" ma:root="true" ma:fieldsID="0bf25b7367e3d42f5cee4169929b16ed" ns2:_="" ns3:_="">
    <xsd:import namespace="febe0462-7ad9-4cf3-8274-aa0cc4f080f3"/>
    <xsd:import namespace="2498f20f-782f-4f87-afd5-421022d6a8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e0462-7ad9-4cf3-8274-aa0cc4f08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46684a-a19c-4d21-91c6-41048820a2e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98f20f-782f-4f87-afd5-421022d6a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65e6f0-0859-4a49-ae1b-b418d9cfe567}" ma:internalName="TaxCatchAll" ma:showField="CatchAllData" ma:web="2498f20f-782f-4f87-afd5-421022d6a8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be0462-7ad9-4cf3-8274-aa0cc4f080f3">
      <Terms xmlns="http://schemas.microsoft.com/office/infopath/2007/PartnerControls"/>
    </lcf76f155ced4ddcb4097134ff3c332f>
    <TaxCatchAll xmlns="2498f20f-782f-4f87-afd5-421022d6a8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F70DF-03A6-4220-92A1-FD5FCC4D1047}"/>
</file>

<file path=customXml/itemProps2.xml><?xml version="1.0" encoding="utf-8"?>
<ds:datastoreItem xmlns:ds="http://schemas.openxmlformats.org/officeDocument/2006/customXml" ds:itemID="{860CF4EE-56B7-4BC8-9965-1CCC54DC1657}">
  <ds:schemaRefs>
    <ds:schemaRef ds:uri="http://schemas.microsoft.com/office/2006/metadata/properties"/>
    <ds:schemaRef ds:uri="http://schemas.microsoft.com/office/infopath/2007/PartnerControls"/>
    <ds:schemaRef ds:uri="http://schemas.microsoft.com/sharepoint/v3"/>
    <ds:schemaRef ds:uri="74ba3640-328d-449a-9f7d-a6e0f48b18e2"/>
    <ds:schemaRef ds:uri="8a5f5284-53ab-4ff8-b83a-40cadec04070"/>
  </ds:schemaRefs>
</ds:datastoreItem>
</file>

<file path=customXml/itemProps3.xml><?xml version="1.0" encoding="utf-8"?>
<ds:datastoreItem xmlns:ds="http://schemas.openxmlformats.org/officeDocument/2006/customXml" ds:itemID="{89D7D37D-E0D8-46F7-BEDF-FFBFBD885B46}">
  <ds:schemaRefs>
    <ds:schemaRef ds:uri="http://schemas.microsoft.com/sharepoint/v3/contenttype/forms"/>
  </ds:schemaRefs>
</ds:datastoreItem>
</file>

<file path=customXml/itemProps4.xml><?xml version="1.0" encoding="utf-8"?>
<ds:datastoreItem xmlns:ds="http://schemas.openxmlformats.org/officeDocument/2006/customXml" ds:itemID="{B27F8217-C98A-44F0-B7B3-30FEED3EA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3343</Words>
  <Characters>19061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Cardinal</dc:creator>
  <cp:keywords/>
  <dc:description/>
  <cp:lastModifiedBy>John Vellutato</cp:lastModifiedBy>
  <cp:revision>4</cp:revision>
  <dcterms:created xsi:type="dcterms:W3CDTF">2025-04-09T13:54:00Z</dcterms:created>
  <dcterms:modified xsi:type="dcterms:W3CDTF">2025-07-28T19:25:00Z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0x0101004673728796F1AF49AA5EE7049D0CA2DC</vt:lpwstr>
  </property>
</Properties>
</file>