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1E23" w14:textId="739D08A7" w:rsidR="00682D71" w:rsidRDefault="00171CC3">
      <w:r>
        <w:rPr>
          <w:noProof/>
        </w:rPr>
        <w:drawing>
          <wp:anchor distT="0" distB="0" distL="114300" distR="114300" simplePos="0" relativeHeight="251659264" behindDoc="1" locked="0" layoutInCell="1" allowOverlap="1" wp14:anchorId="6A61DFF5" wp14:editId="6318911E">
            <wp:simplePos x="0" y="0"/>
            <wp:positionH relativeFrom="column">
              <wp:posOffset>1060704</wp:posOffset>
            </wp:positionH>
            <wp:positionV relativeFrom="paragraph">
              <wp:posOffset>17290</wp:posOffset>
            </wp:positionV>
            <wp:extent cx="3721100" cy="644869"/>
            <wp:effectExtent l="0" t="0" r="0" b="317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64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36E08" w14:textId="77777777" w:rsidR="00171CC3" w:rsidRPr="00171CC3" w:rsidRDefault="00171CC3" w:rsidP="00171CC3"/>
    <w:p w14:paraId="45427FC3" w14:textId="77777777" w:rsidR="00171CC3" w:rsidRPr="00A95390" w:rsidRDefault="00171CC3" w:rsidP="00171CC3">
      <w:pPr>
        <w:widowControl w:val="0"/>
        <w:autoSpaceDE w:val="0"/>
        <w:autoSpaceDN w:val="0"/>
        <w:spacing w:before="40" w:line="305" w:lineRule="auto"/>
        <w:ind w:right="432"/>
        <w:rPr>
          <w:rFonts w:ascii="Montserrat" w:eastAsia="Calibri" w:hAnsi="Montserrat" w:cs="Calibri"/>
          <w:color w:val="4A9EFF"/>
          <w:sz w:val="44"/>
          <w:szCs w:val="54"/>
          <w:lang w:bidi="en-US"/>
        </w:rPr>
      </w:pPr>
      <w:r w:rsidRPr="00A95390">
        <w:rPr>
          <w:rFonts w:ascii="Montserrat" w:eastAsia="Calibri" w:hAnsi="Montserrat" w:cs="Calibri"/>
          <w:noProof/>
          <w:lang w:bidi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94559" wp14:editId="12363257">
                <wp:simplePos x="0" y="0"/>
                <wp:positionH relativeFrom="margin">
                  <wp:align>right</wp:align>
                </wp:positionH>
                <wp:positionV relativeFrom="paragraph">
                  <wp:posOffset>335915</wp:posOffset>
                </wp:positionV>
                <wp:extent cx="5918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64CE3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79BD7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8pt,26.45pt" to="880.8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mSrAEAAEYDAAAOAAAAZHJzL2Uyb0RvYy54bWysUk1v2zAMvQ/YfxB0X+R0bZEacYohaXcZ&#10;tgLtfgAjS7YAfUHU4uTfj1LStN1uRX2QKZF8JB/f8nbvLNuphCb4js9nDWfKy9AbP3T899P9lwVn&#10;mMH3YINXHT8o5Lerz5+WU2zVRRiD7VViBOKxnWLHx5xjKwTKUTnAWYjKk1OH5CDTNQ2iTzARurPi&#10;ommuxRRSH1OQCpFeN0cnX1V8rZXMv7RGlZntOPWW65nquS2nWC2hHRLE0chTG/COLhwYT0XPUBvI&#10;wP4k8x+UMzIFDDrPZHAiaG2kqjPQNPPmn2keR4iqzkLkYDzThB8HK3/u1v4hEQ1TxBbjQypT7HVy&#10;5U/9sX0l63AmS+0zk/R4dTNf0AY4k88+8ZIYE+bvKjhWjI5b48sc0MLuB2YqRqHPIeXZh3tjbd2F&#10;9WwiId00VwUaSBLaQibTxb7j6AfOwA6kNZlThcRgTV/SCxCmYbu2ie2A9n19ub77+q2smMq9CSu1&#10;N4DjMa66jkpwJpMcrXEdXzTlO2VbX9BVFdRpghe+irUN/aHSKMqNllWLnoRV1PD6TvZr+a/+AgAA&#10;//8DAFBLAwQUAAYACAAAACEAVateLtoAAAAGAQAADwAAAGRycy9kb3ducmV2LnhtbEyPwU7DMBBE&#10;70j8g7VI3KhDqgIJcSqEVIkKLil8wDZekoh4HcVOE/6eRRzocWZWM2+L7eJ6daIxdJ4N3K4SUMS1&#10;tx03Bj7edzcPoEJEtth7JgPfFGBbXl4UmFs/c0WnQ2yUlHDI0UAb45BrHeqWHIaVH4gl+/Sjwyhy&#10;bLQdcZZy1+s0Se60w45locWBnluqvw6TM6CXl3SfVFhl61c3T7tqc5+97Y25vlqeHkFFWuL/Mfzi&#10;CzqUwnT0E9ugegPySDSwSTNQkmbrVIzjn6HLQp/jlz8AAAD//wMAUEsBAi0AFAAGAAgAAAAhALaD&#10;OJL+AAAA4QEAABMAAAAAAAAAAAAAAAAAAAAAAFtDb250ZW50X1R5cGVzXS54bWxQSwECLQAUAAYA&#10;CAAAACEAOP0h/9YAAACUAQAACwAAAAAAAAAAAAAAAAAvAQAAX3JlbHMvLnJlbHNQSwECLQAUAAYA&#10;CAAAACEAPrZ5kqwBAABGAwAADgAAAAAAAAAAAAAAAAAuAgAAZHJzL2Uyb0RvYy54bWxQSwECLQAU&#10;AAYACAAAACEAVateLtoAAAAGAQAADwAAAAAAAAAAAAAAAAAGBAAAZHJzL2Rvd25yZXYueG1sUEsF&#10;BgAAAAAEAAQA8wAAAA0FAAAAAA==&#10;" strokecolor="#64ce3a" strokeweight="1.5pt">
                <v:stroke joinstyle="miter"/>
                <w10:wrap anchorx="margin"/>
              </v:line>
            </w:pict>
          </mc:Fallback>
        </mc:AlternateContent>
      </w:r>
    </w:p>
    <w:p w14:paraId="232C432B" w14:textId="77777777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Times New Roman"/>
          <w:color w:val="00AEDB"/>
          <w:sz w:val="24"/>
          <w:szCs w:val="24"/>
        </w:rPr>
      </w:pPr>
    </w:p>
    <w:p w14:paraId="74198E9A" w14:textId="77777777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171CC3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Policy and Procedure </w:t>
      </w:r>
    </w:p>
    <w:p w14:paraId="13809CD0" w14:textId="0E4403F1" w:rsidR="00171CC3" w:rsidRPr="00171CC3" w:rsidRDefault="00262255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Gout</w:t>
      </w:r>
    </w:p>
    <w:p w14:paraId="480C9C92" w14:textId="01F31338" w:rsidR="00171CC3" w:rsidRPr="005226EB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POLICY #</w:t>
      </w:r>
      <w:r w:rsidR="0033442B"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  <w:r w:rsidR="004374E1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UMST-14</w:t>
      </w:r>
    </w:p>
    <w:p w14:paraId="26DF720B" w14:textId="3A97F0F8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Version: </w:t>
      </w:r>
      <w:r w:rsidR="00E15732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1</w:t>
      </w:r>
      <w:r w:rsidR="001A17A5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.0</w:t>
      </w:r>
      <w:r w:rsidR="00C11B4C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  <w:r w:rsidR="0033442B"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</w:p>
    <w:p w14:paraId="6526E423" w14:textId="77777777" w:rsidR="00171CC3" w:rsidRDefault="00171CC3" w:rsidP="00171CC3">
      <w:pPr>
        <w:widowControl w:val="0"/>
        <w:autoSpaceDE w:val="0"/>
        <w:autoSpaceDN w:val="0"/>
        <w:spacing w:line="240" w:lineRule="auto"/>
        <w:rPr>
          <w:rFonts w:ascii="Futura" w:eastAsia="Calibri" w:hAnsi="Futura" w:cs="Calibri"/>
          <w:color w:val="4A9EFF"/>
          <w:sz w:val="24"/>
          <w:szCs w:val="24"/>
          <w:lang w:bidi="en-US"/>
        </w:rPr>
      </w:pPr>
    </w:p>
    <w:p w14:paraId="712B0DD6" w14:textId="77777777" w:rsidR="00320403" w:rsidRDefault="00171CC3" w:rsidP="00320403">
      <w:pPr>
        <w:widowControl w:val="0"/>
        <w:autoSpaceDE w:val="0"/>
        <w:autoSpaceDN w:val="0"/>
        <w:spacing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 w:rsidRPr="00171CC3">
        <w:rPr>
          <w:rFonts w:ascii="Futura" w:eastAsia="Calibri" w:hAnsi="Futura" w:cs="Calibri"/>
          <w:noProof/>
          <w:sz w:val="24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5E043" wp14:editId="61E94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9182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64CE3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CBB65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46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mSrAEAAEYDAAAOAAAAZHJzL2Uyb0RvYy54bWysUk1v2zAMvQ/YfxB0X+R0bZEacYohaXcZ&#10;tgLtfgAjS7YAfUHU4uTfj1LStN1uRX2QKZF8JB/f8nbvLNuphCb4js9nDWfKy9AbP3T899P9lwVn&#10;mMH3YINXHT8o5Lerz5+WU2zVRRiD7VViBOKxnWLHx5xjKwTKUTnAWYjKk1OH5CDTNQ2iTzARurPi&#10;ommuxRRSH1OQCpFeN0cnX1V8rZXMv7RGlZntOPWW65nquS2nWC2hHRLE0chTG/COLhwYT0XPUBvI&#10;wP4k8x+UMzIFDDrPZHAiaG2kqjPQNPPmn2keR4iqzkLkYDzThB8HK3/u1v4hEQ1TxBbjQypT7HVy&#10;5U/9sX0l63AmS+0zk/R4dTNf0AY4k88+8ZIYE+bvKjhWjI5b48sc0MLuB2YqRqHPIeXZh3tjbd2F&#10;9WwiId00VwUaSBLaQibTxb7j6AfOwA6kNZlThcRgTV/SCxCmYbu2ie2A9n19ub77+q2smMq9CSu1&#10;N4DjMa66jkpwJpMcrXEdXzTlO2VbX9BVFdRpghe+irUN/aHSKMqNllWLnoRV1PD6TvZr+a/+AgAA&#10;//8DAFBLAwQUAAYACAAAACEAz2GlSdcAAAAEAQAADwAAAGRycy9kb3ducmV2LnhtbEyP3U6EQAxG&#10;7018h0lNvHMHIf6ADBtjsokbvWH1AbpMBSLTIcyw4NtbvdHL06/5elpuVzeoE02h92zgepOAIm68&#10;7bk18P62u7oHFSKyxcEzGfiiANvq/KzEwvqFazodYqukhEOBBroYx0Lr0HTkMGz8SCzZh58cRsGp&#10;1XbCRcrdoNMkudUOe5YLHY701FHzeZidAb0+p/ukxjrPXtwy7+qbu/x1b8zlxfr4ACrSGv+W4Udf&#10;1KESp6Of2QY1GJBHokwzUBLmWSp8/GVdlfq/fPUNAAD//wMAUEsBAi0AFAAGAAgAAAAhALaDOJL+&#10;AAAA4QEAABMAAAAAAAAAAAAAAAAAAAAAAFtDb250ZW50X1R5cGVzXS54bWxQSwECLQAUAAYACAAA&#10;ACEAOP0h/9YAAACUAQAACwAAAAAAAAAAAAAAAAAvAQAAX3JlbHMvLnJlbHNQSwECLQAUAAYACAAA&#10;ACEAPrZ5kqwBAABGAwAADgAAAAAAAAAAAAAAAAAuAgAAZHJzL2Uyb0RvYy54bWxQSwECLQAUAAYA&#10;CAAAACEAz2GlSdcAAAAEAQAADwAAAAAAAAAAAAAAAAAGBAAAZHJzL2Rvd25yZXYueG1sUEsFBgAA&#10;AAAEAAQA8wAAAAoFAAAAAA==&#10;" strokecolor="#64ce3a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15"/>
        <w:gridCol w:w="2880"/>
        <w:gridCol w:w="1890"/>
        <w:gridCol w:w="2945"/>
      </w:tblGrid>
      <w:tr w:rsidR="00320403" w14:paraId="0538398F" w14:textId="77777777" w:rsidTr="00320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BECC85" w14:textId="77777777" w:rsidR="00320403" w:rsidRPr="00E15732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 w:rsidRPr="00E15732"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Binder: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22CD696" w14:textId="3D378EEE" w:rsidR="00320403" w:rsidRDefault="004374E1" w:rsidP="00CD77BC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D311E06" w14:textId="77777777" w:rsidR="00320403" w:rsidRDefault="00320403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Department: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0598461" w14:textId="7076B979" w:rsidR="00320403" w:rsidRDefault="00D001B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Medical Management-UM</w:t>
            </w:r>
          </w:p>
        </w:tc>
      </w:tr>
      <w:tr w:rsidR="00320403" w14:paraId="5988EF9A" w14:textId="77777777" w:rsidTr="00320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04DEE4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Policy Contact: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E7C508" w14:textId="17BB97B9" w:rsidR="00320403" w:rsidRDefault="004374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VP Pharmacy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87E7C54" w14:textId="77777777" w:rsidR="00320403" w:rsidRDefault="00320403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  <w:t>Effective Date: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7473BD" w14:textId="43A68058" w:rsidR="00320403" w:rsidRDefault="00DE1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1</w:t>
            </w:r>
            <w:r w:rsidR="00D001BF"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/1/2</w:t>
            </w: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6</w:t>
            </w:r>
          </w:p>
        </w:tc>
      </w:tr>
      <w:tr w:rsidR="00320403" w14:paraId="0E783544" w14:textId="77777777" w:rsidTr="00320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5CCDE5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Date Last Reviewed: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453BA10" w14:textId="4EAF7391" w:rsidR="00320403" w:rsidRDefault="00320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15B2A2" w14:textId="77777777" w:rsidR="00320403" w:rsidRDefault="00320403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  <w:t>Date of Policy Committee Approval: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72BAE2" w14:textId="0C145934" w:rsidR="00320403" w:rsidRPr="001A17A5" w:rsidRDefault="00320403" w:rsidP="001A17A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34A017EB" w14:textId="77777777" w:rsidR="00320403" w:rsidRDefault="00320403" w:rsidP="00320403">
      <w:pPr>
        <w:widowControl w:val="0"/>
        <w:autoSpaceDE w:val="0"/>
        <w:autoSpaceDN w:val="0"/>
        <w:spacing w:line="240" w:lineRule="auto"/>
        <w:rPr>
          <w:rFonts w:ascii="Futura" w:eastAsia="Calibri" w:hAnsi="Futura" w:cs="Calibri"/>
          <w:b/>
          <w:bCs/>
          <w:color w:val="4A9EFF"/>
          <w:sz w:val="24"/>
          <w:szCs w:val="24"/>
          <w:lang w:bidi="en-US"/>
        </w:rPr>
      </w:pPr>
    </w:p>
    <w:tbl>
      <w:tblPr>
        <w:tblStyle w:val="TableGrid1"/>
        <w:tblW w:w="9345" w:type="dxa"/>
        <w:tblBorders>
          <w:top w:val="single" w:sz="12" w:space="0" w:color="A5A5A5"/>
          <w:left w:val="single" w:sz="12" w:space="0" w:color="A5A5A5"/>
          <w:bottom w:val="single" w:sz="12" w:space="0" w:color="A5A5A5"/>
          <w:right w:val="single" w:sz="12" w:space="0" w:color="A5A5A5"/>
          <w:insideH w:val="single" w:sz="12" w:space="0" w:color="A5A5A5"/>
          <w:insideV w:val="single" w:sz="12" w:space="0" w:color="A5A5A5"/>
        </w:tblBorders>
        <w:tblLook w:val="04A0" w:firstRow="1" w:lastRow="0" w:firstColumn="1" w:lastColumn="0" w:noHBand="0" w:noVBand="1"/>
      </w:tblPr>
      <w:tblGrid>
        <w:gridCol w:w="1546"/>
        <w:gridCol w:w="2510"/>
        <w:gridCol w:w="1880"/>
        <w:gridCol w:w="3409"/>
      </w:tblGrid>
      <w:tr w:rsidR="00320403" w14:paraId="47A77D58" w14:textId="77777777" w:rsidTr="00320403">
        <w:tc>
          <w:tcPr>
            <w:tcW w:w="9345" w:type="dxa"/>
            <w:gridSpan w:val="4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CC25E45" w14:textId="77777777" w:rsidR="00320403" w:rsidRDefault="00320403">
            <w:pPr>
              <w:widowControl w:val="0"/>
              <w:autoSpaceDE w:val="0"/>
              <w:autoSpaceDN w:val="0"/>
              <w:jc w:val="center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Revision/Approval History</w:t>
            </w:r>
          </w:p>
        </w:tc>
      </w:tr>
      <w:tr w:rsidR="00320403" w14:paraId="02459072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F80719B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Date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D9342F0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Name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157BE64E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Title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4D3EEE37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Description</w:t>
            </w:r>
          </w:p>
        </w:tc>
      </w:tr>
      <w:tr w:rsidR="00320403" w14:paraId="67145A51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1C31E6F" w14:textId="771274CC" w:rsidR="00320403" w:rsidRDefault="004374E1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2/18/25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5736AEE" w14:textId="40E4F33F" w:rsidR="00320403" w:rsidRDefault="00E768B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 xml:space="preserve">Policy &amp; Procedure Committee 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67DA1ECD" w14:textId="2C1D3BEF" w:rsidR="00320403" w:rsidRDefault="004374E1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Submission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35DC7F81" w14:textId="45489438" w:rsidR="00320403" w:rsidRDefault="00CB5E28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 xml:space="preserve">New policy. </w:t>
            </w:r>
          </w:p>
        </w:tc>
      </w:tr>
      <w:tr w:rsidR="00320403" w14:paraId="7973D708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12D9C931" w14:textId="7726932B" w:rsidR="00320403" w:rsidRDefault="004374E1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2/18/25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80828A1" w14:textId="35E5328C" w:rsidR="00320403" w:rsidRDefault="004374E1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 Committee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C0B7B6E" w14:textId="12F495BA" w:rsidR="00320403" w:rsidRDefault="004374E1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Submission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5F8B2E15" w14:textId="074B98E1" w:rsidR="00320403" w:rsidRDefault="004374E1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New policy</w:t>
            </w:r>
          </w:p>
        </w:tc>
      </w:tr>
      <w:tr w:rsidR="00DE1724" w14:paraId="61C204D0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506B8957" w14:textId="7754932A" w:rsidR="00DE1724" w:rsidRDefault="00DE1724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8/4/25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880A812" w14:textId="73FF9562" w:rsidR="00DE1724" w:rsidRDefault="00DE1724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 Committee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0ABC8FBC" w14:textId="547912CC" w:rsidR="00DE1724" w:rsidRDefault="00DE1724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Review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EE2E6ED" w14:textId="77777777" w:rsidR="00DE1724" w:rsidRDefault="00DE1724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67C7852D" w14:textId="77777777" w:rsidR="00320403" w:rsidRDefault="00320403" w:rsidP="00320403">
      <w:pPr>
        <w:spacing w:after="0" w:line="240" w:lineRule="auto"/>
        <w:jc w:val="center"/>
        <w:rPr>
          <w:rFonts w:ascii="Futura" w:hAnsi="Futura"/>
          <w:color w:val="00AEDB"/>
          <w:sz w:val="24"/>
          <w:szCs w:val="24"/>
        </w:rPr>
      </w:pPr>
    </w:p>
    <w:p w14:paraId="6C4CF2DA" w14:textId="7777777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Policy:</w:t>
      </w:r>
    </w:p>
    <w:p w14:paraId="2ECE6697" w14:textId="164DFCC8" w:rsidR="00B60BDE" w:rsidRDefault="00B60BDE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3E7F185" w14:textId="5213186D" w:rsidR="00581FB0" w:rsidRDefault="004F5EE3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This policy stands to show the criteria for and preferencing of</w:t>
      </w:r>
      <w:r w:rsidR="00827A7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agents within the therapeutic class of </w:t>
      </w:r>
      <w:r w:rsidR="00F9505E">
        <w:rPr>
          <w:rFonts w:ascii="Futura" w:eastAsia="Calibri" w:hAnsi="Futura" w:cs="Calibri"/>
          <w:color w:val="000000"/>
          <w:sz w:val="20"/>
          <w:szCs w:val="20"/>
          <w:lang w:bidi="en-US"/>
        </w:rPr>
        <w:t>Uric Acid Agents</w:t>
      </w:r>
      <w:r w:rsidR="00114DF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, also known as </w:t>
      </w:r>
      <w:r w:rsidR="00F9505E">
        <w:rPr>
          <w:rFonts w:ascii="Futura" w:eastAsia="Calibri" w:hAnsi="Futura" w:cs="Calibri"/>
          <w:color w:val="000000"/>
          <w:sz w:val="20"/>
          <w:szCs w:val="20"/>
          <w:lang w:bidi="en-US"/>
        </w:rPr>
        <w:t>Gout Agents</w:t>
      </w:r>
      <w:r w:rsidR="00827A7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.  At the time of creation of this policy, there </w:t>
      </w:r>
      <w:r w:rsidR="00C54511">
        <w:rPr>
          <w:rFonts w:ascii="Futura" w:eastAsia="Calibri" w:hAnsi="Futura" w:cs="Calibri"/>
          <w:color w:val="000000"/>
          <w:sz w:val="20"/>
          <w:szCs w:val="20"/>
          <w:lang w:bidi="en-US"/>
        </w:rPr>
        <w:t>is one</w:t>
      </w:r>
      <w:r w:rsidR="004B7D6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agent to be reviewed:</w:t>
      </w:r>
      <w:r w:rsidR="00E0375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  <w:r w:rsidR="00C54511">
        <w:rPr>
          <w:rFonts w:ascii="Futura" w:eastAsia="Calibri" w:hAnsi="Futura" w:cs="Calibri"/>
          <w:color w:val="000000"/>
          <w:sz w:val="20"/>
          <w:szCs w:val="20"/>
          <w:lang w:bidi="en-US"/>
        </w:rPr>
        <w:t>Krystexxa (pegloticase)-J2507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.  The </w:t>
      </w:r>
      <w:r w:rsidR="00C71E7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review includes review of product package inserts for </w:t>
      </w:r>
      <w:r w:rsidR="0022232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FDA approved </w:t>
      </w:r>
      <w:r w:rsidR="00C71E7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indications and limitations, ASP pricing files updated quarterly, </w:t>
      </w:r>
      <w:r w:rsidR="00BB3294">
        <w:rPr>
          <w:rFonts w:ascii="Futura" w:eastAsia="Calibri" w:hAnsi="Futura" w:cs="Calibri"/>
          <w:color w:val="000000"/>
          <w:sz w:val="20"/>
          <w:szCs w:val="20"/>
          <w:lang w:bidi="en-US"/>
        </w:rPr>
        <w:t>any external evidence available through CMS approved compendia, NCD/LCD information</w:t>
      </w:r>
      <w:r w:rsidR="0029343B">
        <w:rPr>
          <w:rFonts w:ascii="Futura" w:eastAsia="Calibri" w:hAnsi="Futura" w:cs="Calibri"/>
          <w:color w:val="000000"/>
          <w:sz w:val="20"/>
          <w:szCs w:val="20"/>
          <w:lang w:bidi="en-US"/>
        </w:rPr>
        <w:t>, and the approved system used for clinical direction of the Utilization Management team</w:t>
      </w:r>
      <w:r w:rsidR="00006F2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for agents on the eternalHealth Medicare Part B Prior Auth list</w:t>
      </w:r>
      <w:r w:rsidR="00BB3294">
        <w:rPr>
          <w:rFonts w:ascii="Futura" w:eastAsia="Calibri" w:hAnsi="Futura" w:cs="Calibri"/>
          <w:color w:val="000000"/>
          <w:sz w:val="20"/>
          <w:szCs w:val="20"/>
          <w:lang w:bidi="en-US"/>
        </w:rPr>
        <w:t>.  T</w:t>
      </w:r>
      <w:r w:rsidR="00A85AC1">
        <w:rPr>
          <w:rFonts w:ascii="Futura" w:eastAsia="Calibri" w:hAnsi="Futura" w:cs="Calibri"/>
          <w:color w:val="000000"/>
          <w:sz w:val="20"/>
          <w:szCs w:val="20"/>
          <w:lang w:bidi="en-US"/>
        </w:rPr>
        <w:t>his information combined with a wholistic review of the members’ clinical profile will allow the eternalHealth team to arrive at a decision of clinical appropriateness and is not a guarantee of payment.</w:t>
      </w:r>
      <w:r w:rsidR="008B3057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 This policy crosses benefits, and portions attributed to the part D benefit will be handled by the PBM (at this time OptumRx) while those under part B will be handled by our TPA, nirvanaHealth.</w:t>
      </w:r>
    </w:p>
    <w:p w14:paraId="7962C7E4" w14:textId="77777777" w:rsidR="00581FB0" w:rsidRDefault="00581FB0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415B365" w14:textId="77777777" w:rsidR="0006286C" w:rsidRDefault="0006286C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5A644BFA" w14:textId="77777777" w:rsidR="0006286C" w:rsidRDefault="0006286C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6F2E63C2" w14:textId="77777777" w:rsidR="0006286C" w:rsidRDefault="0006286C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05341E3" w14:textId="77777777" w:rsidR="0006286C" w:rsidRDefault="0006286C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4509EC8E" w14:textId="77777777" w:rsidR="0006286C" w:rsidRDefault="0006286C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2AED8F0" w14:textId="77777777" w:rsidR="0006286C" w:rsidRDefault="0006286C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EE0B925" w14:textId="77777777" w:rsidR="0006286C" w:rsidRDefault="0006286C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688B7C2E" w14:textId="77777777" w:rsidR="0006286C" w:rsidRDefault="0006286C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551B638" w14:textId="77777777" w:rsidR="00A41C59" w:rsidRDefault="00A41C59" w:rsidP="00A41C59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Summary:</w:t>
      </w:r>
    </w:p>
    <w:p w14:paraId="7AC850B7" w14:textId="77777777" w:rsidR="00A41C59" w:rsidRDefault="00A41C59" w:rsidP="00A41C59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</w:p>
    <w:p w14:paraId="71CD7C88" w14:textId="77777777" w:rsidR="00A41C59" w:rsidRDefault="00A41C59" w:rsidP="004275C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All agents injected in the office will require prior authorization review for medical necessity</w:t>
      </w:r>
    </w:p>
    <w:p w14:paraId="732F5794" w14:textId="498AFA37" w:rsidR="00A41C59" w:rsidRDefault="00A41C59" w:rsidP="004275C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Medical record must indicate maximized use of </w:t>
      </w:r>
      <w:r w:rsidR="00E72D06">
        <w:rPr>
          <w:rFonts w:ascii="Futura" w:hAnsi="Futura"/>
          <w:b/>
          <w:bCs/>
          <w:color w:val="00AEDB"/>
          <w:sz w:val="24"/>
          <w:szCs w:val="24"/>
        </w:rPr>
        <w:t xml:space="preserve">oral </w:t>
      </w:r>
      <w:r>
        <w:rPr>
          <w:rFonts w:ascii="Futura" w:hAnsi="Futura"/>
          <w:b/>
          <w:bCs/>
          <w:color w:val="00AEDB"/>
          <w:sz w:val="24"/>
          <w:szCs w:val="24"/>
        </w:rPr>
        <w:t>part D formulary agents found here</w:t>
      </w:r>
      <w:r w:rsidR="00570E5B">
        <w:rPr>
          <w:rFonts w:ascii="Futura" w:hAnsi="Futura"/>
          <w:b/>
          <w:bCs/>
          <w:color w:val="00AEDB"/>
          <w:sz w:val="24"/>
          <w:szCs w:val="24"/>
        </w:rPr>
        <w:t xml:space="preserve"> (i.e. allopurinol, colchicine, febuxostat)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: </w:t>
      </w:r>
      <w:hyperlink r:id="rId9" w:history="1">
        <w:r w:rsidRPr="009A00EB">
          <w:rPr>
            <w:rStyle w:val="Hyperlink"/>
            <w:rFonts w:ascii="Futura" w:hAnsi="Futura"/>
            <w:b/>
            <w:bCs/>
            <w:sz w:val="24"/>
            <w:szCs w:val="24"/>
          </w:rPr>
          <w:t>https://welcome.optumrx.com/rxexternal/external-prescription-drug-list?type=PDPClientFormulary&amp;var=X25ETEGD&amp;infoid=X25ETEGD&amp;clientCode=ETHOEDL</w:t>
        </w:r>
      </w:hyperlink>
      <w:r>
        <w:rPr>
          <w:rFonts w:ascii="Futura" w:hAnsi="Futura"/>
          <w:b/>
          <w:bCs/>
          <w:color w:val="00AEDB"/>
          <w:sz w:val="24"/>
          <w:szCs w:val="24"/>
        </w:rPr>
        <w:t xml:space="preserve"> </w:t>
      </w:r>
    </w:p>
    <w:p w14:paraId="7A3FB170" w14:textId="24E896A7" w:rsidR="00A41C59" w:rsidRPr="007C590C" w:rsidRDefault="00A41C59" w:rsidP="004275CF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bookmarkStart w:id="0" w:name="_Hlk190865049"/>
      <w:r>
        <w:rPr>
          <w:rFonts w:ascii="Futura" w:hAnsi="Futura"/>
          <w:b/>
          <w:bCs/>
          <w:color w:val="00AEDB"/>
          <w:sz w:val="24"/>
          <w:szCs w:val="24"/>
        </w:rPr>
        <w:t xml:space="preserve">If the requested agent is for </w:t>
      </w:r>
      <w:r w:rsidR="00E72D06">
        <w:rPr>
          <w:rFonts w:ascii="Futura" w:hAnsi="Futura"/>
          <w:b/>
          <w:bCs/>
          <w:color w:val="00AEDB"/>
          <w:sz w:val="24"/>
          <w:szCs w:val="24"/>
        </w:rPr>
        <w:t>injected</w:t>
      </w:r>
      <w:r w:rsidR="00FA4672">
        <w:rPr>
          <w:rFonts w:ascii="Futura" w:hAnsi="Futura"/>
          <w:b/>
          <w:bCs/>
          <w:color w:val="00AEDB"/>
          <w:sz w:val="24"/>
          <w:szCs w:val="24"/>
        </w:rPr>
        <w:t xml:space="preserve"> allopurinol or colchicine</w:t>
      </w:r>
      <w:bookmarkEnd w:id="0"/>
      <w:r>
        <w:rPr>
          <w:rFonts w:ascii="Futura" w:hAnsi="Futura"/>
          <w:b/>
          <w:bCs/>
          <w:color w:val="00AEDB"/>
          <w:sz w:val="24"/>
          <w:szCs w:val="24"/>
        </w:rPr>
        <w:t xml:space="preserve"> the case can be reviewed for medical necessity and use of prior pharmacy agents </w:t>
      </w:r>
      <w:r w:rsidR="00E85687">
        <w:rPr>
          <w:rFonts w:ascii="Futura" w:hAnsi="Futura"/>
          <w:b/>
          <w:bCs/>
          <w:color w:val="00AEDB"/>
          <w:sz w:val="24"/>
          <w:szCs w:val="24"/>
        </w:rPr>
        <w:t xml:space="preserve">(at least 3 months of use) </w:t>
      </w:r>
      <w:r>
        <w:rPr>
          <w:rFonts w:ascii="Futura" w:hAnsi="Futura"/>
          <w:b/>
          <w:bCs/>
          <w:color w:val="00AEDB"/>
          <w:sz w:val="24"/>
          <w:szCs w:val="24"/>
        </w:rPr>
        <w:t>and may be approved.</w:t>
      </w:r>
    </w:p>
    <w:p w14:paraId="78870C72" w14:textId="1986F371" w:rsidR="00A41C59" w:rsidRDefault="00A41C59" w:rsidP="004275CF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If the requested agent is for </w:t>
      </w:r>
      <w:r w:rsidR="00AB5F5A">
        <w:rPr>
          <w:rFonts w:ascii="Futura" w:hAnsi="Futura"/>
          <w:b/>
          <w:bCs/>
          <w:color w:val="00AEDB"/>
          <w:sz w:val="24"/>
          <w:szCs w:val="24"/>
        </w:rPr>
        <w:t>Krystexxa,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 the case can be reviewed for medical necessity, the use of prior pharmacy agents, and trial and lack of clinical response to </w:t>
      </w:r>
      <w:r w:rsidR="00AB5F5A">
        <w:rPr>
          <w:rFonts w:ascii="Futura" w:hAnsi="Futura"/>
          <w:b/>
          <w:bCs/>
          <w:color w:val="00AEDB"/>
          <w:sz w:val="24"/>
          <w:szCs w:val="24"/>
        </w:rPr>
        <w:t xml:space="preserve">injected allopurinol or colchicine </w:t>
      </w:r>
      <w:r>
        <w:rPr>
          <w:rFonts w:ascii="Futura" w:hAnsi="Futura"/>
          <w:b/>
          <w:bCs/>
          <w:color w:val="00AEDB"/>
          <w:sz w:val="24"/>
          <w:szCs w:val="24"/>
        </w:rPr>
        <w:t>and may be approved.</w:t>
      </w:r>
    </w:p>
    <w:p w14:paraId="6FF56DDE" w14:textId="77777777" w:rsidR="00A41C59" w:rsidRDefault="00A41C59" w:rsidP="004275C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An exception to step therapy will be considered if:</w:t>
      </w:r>
    </w:p>
    <w:p w14:paraId="3584D29D" w14:textId="77777777" w:rsidR="00A41C59" w:rsidRPr="00732065" w:rsidRDefault="00A41C59" w:rsidP="004275CF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There is specific 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documentation of inadequate response, contraindication, adverse event or otherwise </w:t>
      </w:r>
      <w:r>
        <w:rPr>
          <w:rFonts w:ascii="Futura" w:hAnsi="Futura"/>
          <w:b/>
          <w:bCs/>
          <w:color w:val="00AEDB"/>
          <w:sz w:val="24"/>
          <w:szCs w:val="24"/>
        </w:rPr>
        <w:t>d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>emonstrated for a preferred agent if requesting a secondary agent, and for preferred and secondary agents if requesting a tertiary agent.</w:t>
      </w:r>
    </w:p>
    <w:p w14:paraId="43909957" w14:textId="2AD071F4" w:rsidR="00A41C59" w:rsidRPr="00732065" w:rsidRDefault="00A41C59" w:rsidP="004275CF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Request contains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 documentation of a continuation of therapy within the past </w:t>
      </w:r>
      <w:r w:rsidR="00DF4375">
        <w:rPr>
          <w:rFonts w:ascii="Futura" w:hAnsi="Futura"/>
          <w:b/>
          <w:bCs/>
          <w:color w:val="00AEDB"/>
          <w:sz w:val="24"/>
          <w:szCs w:val="24"/>
        </w:rPr>
        <w:t>365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 days (if new) or if it is a reauthorization request.</w:t>
      </w:r>
    </w:p>
    <w:p w14:paraId="78D3985E" w14:textId="1D578350" w:rsidR="0006286C" w:rsidRDefault="00A41C59" w:rsidP="00A41C59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 w:rsidRPr="00732065">
        <w:rPr>
          <w:rFonts w:ascii="Futura" w:hAnsi="Futura"/>
          <w:b/>
          <w:bCs/>
          <w:color w:val="00AEDB"/>
          <w:sz w:val="24"/>
          <w:szCs w:val="24"/>
        </w:rPr>
        <w:t>In either of the above situations, the product being used cannot be based on the use of samples or products provided through manufacturer patient assistance programs.</w:t>
      </w:r>
    </w:p>
    <w:p w14:paraId="381B77A0" w14:textId="77777777" w:rsidR="00A41C59" w:rsidRDefault="00A41C59" w:rsidP="00A41C59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4D085817" w14:textId="2D9A8FD3" w:rsidR="00E42974" w:rsidRPr="0018204C" w:rsidRDefault="00E42974" w:rsidP="00554794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 w:rsidRPr="0018204C">
        <w:rPr>
          <w:rFonts w:ascii="Futura" w:hAnsi="Futura"/>
          <w:b/>
          <w:bCs/>
          <w:color w:val="00AEDB"/>
          <w:sz w:val="24"/>
          <w:szCs w:val="24"/>
        </w:rPr>
        <w:t>Exclusions:</w:t>
      </w:r>
    </w:p>
    <w:p w14:paraId="121B4A0C" w14:textId="30BA3CFC" w:rsidR="0018204C" w:rsidRDefault="004B7D0A" w:rsidP="004275CF">
      <w:pPr>
        <w:numPr>
          <w:ilvl w:val="0"/>
          <w:numId w:val="2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Requests for indications not FDA approved or supported by documentation of compendial acceptance provided by the requesting provider</w:t>
      </w:r>
    </w:p>
    <w:p w14:paraId="17A5F358" w14:textId="77777777" w:rsidR="00323429" w:rsidRDefault="00323429" w:rsidP="00323429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5BDFBEC" w14:textId="340BC730" w:rsidR="00255C58" w:rsidRDefault="00255C58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Preferencing:</w:t>
      </w:r>
    </w:p>
    <w:p w14:paraId="366D9618" w14:textId="52CCA8EB" w:rsidR="00255C58" w:rsidRPr="00CD2097" w:rsidRDefault="00255C58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D2097">
        <w:rPr>
          <w:rFonts w:ascii="Futura" w:hAnsi="Futura"/>
          <w:b/>
          <w:bCs/>
          <w:sz w:val="24"/>
          <w:szCs w:val="24"/>
        </w:rPr>
        <w:t>Preferred Agents:</w:t>
      </w:r>
      <w:r w:rsidR="00CD2097">
        <w:rPr>
          <w:rFonts w:ascii="Futura" w:hAnsi="Futura"/>
          <w:b/>
          <w:bCs/>
          <w:sz w:val="24"/>
          <w:szCs w:val="24"/>
        </w:rPr>
        <w:t xml:space="preserve"> </w:t>
      </w:r>
      <w:r w:rsidR="008B6898">
        <w:rPr>
          <w:rFonts w:ascii="Futura" w:hAnsi="Futura"/>
          <w:b/>
          <w:bCs/>
          <w:sz w:val="24"/>
          <w:szCs w:val="24"/>
        </w:rPr>
        <w:t>Oral Part D formulary agents</w:t>
      </w:r>
    </w:p>
    <w:p w14:paraId="6E9CE643" w14:textId="2ABAD9AD" w:rsidR="0090595D" w:rsidRDefault="0090595D" w:rsidP="00320403">
      <w:pPr>
        <w:spacing w:after="0" w:line="240" w:lineRule="auto"/>
        <w:rPr>
          <w:rFonts w:ascii="Futura" w:hAnsi="Futura"/>
          <w:b/>
          <w:bCs/>
          <w:sz w:val="24"/>
          <w:szCs w:val="24"/>
        </w:rPr>
      </w:pPr>
      <w:r w:rsidRPr="00CD2097">
        <w:rPr>
          <w:rFonts w:ascii="Futura" w:hAnsi="Futura"/>
          <w:b/>
          <w:bCs/>
          <w:sz w:val="24"/>
          <w:szCs w:val="24"/>
        </w:rPr>
        <w:t>Secondary Agents:</w:t>
      </w:r>
      <w:r w:rsidR="00CD2097">
        <w:rPr>
          <w:rFonts w:ascii="Futura" w:hAnsi="Futura"/>
          <w:b/>
          <w:bCs/>
          <w:sz w:val="24"/>
          <w:szCs w:val="24"/>
        </w:rPr>
        <w:t xml:space="preserve"> </w:t>
      </w:r>
      <w:r w:rsidR="007D2B5D">
        <w:rPr>
          <w:rFonts w:ascii="Futura" w:hAnsi="Futura"/>
          <w:b/>
          <w:bCs/>
          <w:sz w:val="24"/>
          <w:szCs w:val="24"/>
        </w:rPr>
        <w:t xml:space="preserve">Injectable </w:t>
      </w:r>
      <w:r w:rsidR="00406341">
        <w:rPr>
          <w:rFonts w:ascii="Futura" w:hAnsi="Futura"/>
          <w:b/>
          <w:bCs/>
          <w:sz w:val="24"/>
          <w:szCs w:val="24"/>
        </w:rPr>
        <w:t xml:space="preserve">allopurinol or </w:t>
      </w:r>
      <w:r w:rsidR="00047F42">
        <w:rPr>
          <w:rFonts w:ascii="Futura" w:hAnsi="Futura"/>
          <w:b/>
          <w:bCs/>
          <w:sz w:val="24"/>
          <w:szCs w:val="24"/>
        </w:rPr>
        <w:t>colchicine</w:t>
      </w:r>
    </w:p>
    <w:p w14:paraId="1887478B" w14:textId="26BD2FA3" w:rsidR="00AE372C" w:rsidRPr="00CD2097" w:rsidRDefault="00AE372C" w:rsidP="00320403">
      <w:p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b/>
          <w:bCs/>
          <w:sz w:val="24"/>
          <w:szCs w:val="24"/>
        </w:rPr>
        <w:t xml:space="preserve">Tertiary Agents: </w:t>
      </w:r>
      <w:r w:rsidR="00047F42">
        <w:rPr>
          <w:rFonts w:ascii="Futura" w:hAnsi="Futura"/>
          <w:b/>
          <w:bCs/>
          <w:sz w:val="24"/>
          <w:szCs w:val="24"/>
        </w:rPr>
        <w:t>Krystexxa</w:t>
      </w:r>
    </w:p>
    <w:p w14:paraId="6CA5A894" w14:textId="77777777" w:rsidR="00255C58" w:rsidRDefault="00255C58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25E29391" w14:textId="2523E219" w:rsidR="00320403" w:rsidRDefault="00B15619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Agents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1171CEDC" w14:textId="77777777" w:rsidR="005027EC" w:rsidRPr="00B317BA" w:rsidRDefault="005027EC" w:rsidP="003E1B92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0"/>
          <w:szCs w:val="20"/>
          <w:highlight w:val="yellow"/>
          <w:lang w:bidi="en-US"/>
        </w:rPr>
      </w:pPr>
    </w:p>
    <w:p w14:paraId="65EE4548" w14:textId="423787AB" w:rsidR="003E1B92" w:rsidRPr="003E1B92" w:rsidRDefault="003E1B92" w:rsidP="003E1B92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467FD5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 xml:space="preserve">HCPCS: </w:t>
      </w:r>
      <w:r w:rsidR="00047F42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J0206, J0760, J</w:t>
      </w:r>
      <w:r w:rsidR="0054657C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2507</w:t>
      </w:r>
    </w:p>
    <w:p w14:paraId="5780A820" w14:textId="000FF7A6" w:rsidR="009815F3" w:rsidRDefault="009815F3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3F49BF76" w14:textId="77777777" w:rsidR="002D78CB" w:rsidRDefault="002D78CB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2D78CB">
        <w:rPr>
          <w:rFonts w:ascii="Futura" w:eastAsia="Calibri" w:hAnsi="Futura" w:cs="Calibri"/>
          <w:b/>
          <w:bCs/>
          <w:color w:val="000000"/>
          <w:sz w:val="28"/>
          <w:szCs w:val="28"/>
          <w:lang w:bidi="en-US"/>
        </w:rPr>
        <w:t>KRYSTEXXA</w:t>
      </w:r>
      <w:r w:rsidRPr="002D78CB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(pegloticase) is a PEGylated uric acid specific enzyme indicated for the treatment of chronic gout in adult patients refractory to conventional therapy.</w:t>
      </w:r>
    </w:p>
    <w:p w14:paraId="1E14D610" w14:textId="77777777" w:rsidR="002D78CB" w:rsidRDefault="002D78CB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</w:p>
    <w:p w14:paraId="59111321" w14:textId="77777777" w:rsidR="002D78CB" w:rsidRDefault="002D78CB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2D78CB">
        <w:rPr>
          <w:rFonts w:ascii="Futura" w:eastAsia="Calibri" w:hAnsi="Futura" w:cs="Calibri"/>
          <w:color w:val="000000"/>
          <w:sz w:val="24"/>
          <w:szCs w:val="24"/>
          <w:lang w:bidi="en-US"/>
        </w:rPr>
        <w:lastRenderedPageBreak/>
        <w:t xml:space="preserve">Limitations of Use: KRYSTEXXA is not recommended for the treatment of asymptomatic hyperuricemia. </w:t>
      </w:r>
    </w:p>
    <w:p w14:paraId="4D3109CC" w14:textId="77777777" w:rsidR="002D78CB" w:rsidRDefault="002D78CB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</w:p>
    <w:p w14:paraId="065FEC6E" w14:textId="77777777" w:rsidR="002D78CB" w:rsidRDefault="002D78CB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2D78CB">
        <w:rPr>
          <w:rFonts w:ascii="Futura" w:eastAsia="Calibri" w:hAnsi="Futura" w:cs="Calibri"/>
          <w:color w:val="000000"/>
          <w:sz w:val="24"/>
          <w:szCs w:val="24"/>
          <w:lang w:bidi="en-US"/>
        </w:rPr>
        <w:t>DOSAGE AND ADMINISTRATION</w:t>
      </w:r>
    </w:p>
    <w:p w14:paraId="484475A0" w14:textId="77777777" w:rsidR="002D78CB" w:rsidRDefault="002D78CB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2D78CB">
        <w:rPr>
          <w:rFonts w:ascii="Futura" w:eastAsia="Calibri" w:hAnsi="Futura" w:cs="Calibri"/>
          <w:color w:val="000000"/>
          <w:sz w:val="24"/>
          <w:szCs w:val="24"/>
          <w:lang w:bidi="en-US"/>
        </w:rPr>
        <w:t>• Recommended Dosage: The recommended dosage is KRYSTEXXA 8 mg every two weeks given as an intravenous infusion, co-administered with weekly methotrexate 15 mg orally. KRYSTEXXA alone may be used in patients for whom methotrexate is contraindicated or not clinically appropriate.</w:t>
      </w:r>
    </w:p>
    <w:p w14:paraId="094FB32D" w14:textId="77777777" w:rsidR="002D78CB" w:rsidRDefault="002D78CB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2D78CB">
        <w:rPr>
          <w:rFonts w:ascii="Futura" w:eastAsia="Calibri" w:hAnsi="Futura" w:cs="Calibri"/>
          <w:color w:val="000000"/>
          <w:sz w:val="24"/>
          <w:szCs w:val="24"/>
          <w:lang w:bidi="en-US"/>
        </w:rPr>
        <w:t>• Methotrexate with folic acid or folinic acid supplementation should be initiated at least 4 weeks prior to initiating, and throughout treatment with KRYSTEXXA.</w:t>
      </w:r>
    </w:p>
    <w:p w14:paraId="1F214F1A" w14:textId="210C1A3B" w:rsidR="00AC43D5" w:rsidRDefault="002D78CB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2D78CB">
        <w:rPr>
          <w:rFonts w:ascii="Futura" w:eastAsia="Calibri" w:hAnsi="Futura" w:cs="Calibri"/>
          <w:color w:val="000000"/>
          <w:sz w:val="24"/>
          <w:szCs w:val="24"/>
          <w:lang w:bidi="en-US"/>
        </w:rPr>
        <w:t>• Discontinue oral urate-lowering agents before starting KRYSTEXXA.</w:t>
      </w:r>
    </w:p>
    <w:p w14:paraId="440501AD" w14:textId="77777777" w:rsidR="00AC43D5" w:rsidRDefault="002D78CB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2D78CB">
        <w:rPr>
          <w:rFonts w:ascii="Futura" w:eastAsia="Calibri" w:hAnsi="Futura" w:cs="Calibri"/>
          <w:color w:val="000000"/>
          <w:sz w:val="24"/>
          <w:szCs w:val="24"/>
          <w:lang w:bidi="en-US"/>
        </w:rPr>
        <w:t>• Monitor serum uric acid levels before each infusion.</w:t>
      </w:r>
    </w:p>
    <w:p w14:paraId="0E771EB9" w14:textId="77777777" w:rsidR="00AC43D5" w:rsidRDefault="002D78CB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2D78CB">
        <w:rPr>
          <w:rFonts w:ascii="Futura" w:eastAsia="Calibri" w:hAnsi="Futura" w:cs="Calibri"/>
          <w:color w:val="000000"/>
          <w:sz w:val="24"/>
          <w:szCs w:val="24"/>
          <w:lang w:bidi="en-US"/>
        </w:rPr>
        <w:t>• Pre-medicate patients with antihistamines and corticosteroids.</w:t>
      </w:r>
    </w:p>
    <w:p w14:paraId="0006BCAE" w14:textId="77777777" w:rsidR="00AC43D5" w:rsidRDefault="002D78CB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2D78CB">
        <w:rPr>
          <w:rFonts w:ascii="Futura" w:eastAsia="Calibri" w:hAnsi="Futura" w:cs="Calibri"/>
          <w:color w:val="000000"/>
          <w:sz w:val="24"/>
          <w:szCs w:val="24"/>
          <w:lang w:bidi="en-US"/>
        </w:rPr>
        <w:t>• KRYSTEXXA must be diluted prior to use.</w:t>
      </w:r>
    </w:p>
    <w:p w14:paraId="00295D19" w14:textId="1D810EA5" w:rsidR="009F51BE" w:rsidRDefault="002D78CB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2D78CB">
        <w:rPr>
          <w:rFonts w:ascii="Futura" w:eastAsia="Calibri" w:hAnsi="Futura" w:cs="Calibri"/>
          <w:color w:val="000000"/>
          <w:sz w:val="24"/>
          <w:szCs w:val="24"/>
          <w:lang w:bidi="en-US"/>
        </w:rPr>
        <w:t>• Do not administer as an intravenous push or bolus. The KRYSTEXXA admixture should only be administered by intravenous infusion over no less than 120 minutes via gravity feed, syringe-type pump, or infusion pump.</w:t>
      </w:r>
    </w:p>
    <w:p w14:paraId="05A7D114" w14:textId="77777777" w:rsidR="004C4061" w:rsidRDefault="004C4061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</w:p>
    <w:p w14:paraId="7B6366C2" w14:textId="716D021C" w:rsidR="004C4061" w:rsidRPr="004C4061" w:rsidRDefault="004C4061" w:rsidP="004C4061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>
        <w:rPr>
          <w:rFonts w:ascii="Futura" w:eastAsia="Calibri" w:hAnsi="Futura" w:cs="Calibri"/>
          <w:color w:val="000000"/>
          <w:sz w:val="24"/>
          <w:szCs w:val="24"/>
          <w:lang w:bidi="en-US"/>
        </w:rPr>
        <w:t>Krystexxa</w:t>
      </w: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may be indicated when </w:t>
      </w:r>
      <w:r w:rsidR="004374E1" w:rsidRPr="004C4061"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>ALL</w:t>
      </w: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the following are present</w:t>
      </w:r>
      <w:bookmarkStart w:id="1" w:name="cl_c_1"/>
      <w:bookmarkStart w:id="2" w:name="cl_c_2"/>
      <w:bookmarkStart w:id="3" w:name="cl_c_3"/>
      <w:bookmarkStart w:id="4" w:name="cl_c_4"/>
      <w:bookmarkStart w:id="5" w:name="cl_c_5"/>
      <w:bookmarkStart w:id="6" w:name="cl_c_6"/>
      <w:bookmarkEnd w:id="1"/>
      <w:bookmarkEnd w:id="2"/>
      <w:bookmarkEnd w:id="3"/>
      <w:bookmarkEnd w:id="4"/>
      <w:bookmarkEnd w:id="5"/>
      <w:bookmarkEnd w:id="6"/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:</w:t>
      </w:r>
    </w:p>
    <w:p w14:paraId="2F6A185D" w14:textId="77777777" w:rsidR="004C4061" w:rsidRPr="004C4061" w:rsidRDefault="004C4061" w:rsidP="004275CF">
      <w:pPr>
        <w:numPr>
          <w:ilvl w:val="0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Age 18 years or older</w:t>
      </w:r>
    </w:p>
    <w:p w14:paraId="1435733E" w14:textId="69F90E5F" w:rsidR="004C4061" w:rsidRPr="004C4061" w:rsidRDefault="004C4061" w:rsidP="004275CF">
      <w:pPr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Chronic symptomatic gout, as indicated by </w:t>
      </w:r>
      <w:r w:rsidRPr="004C4061"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>1 or more</w:t>
      </w: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 of the following</w:t>
      </w:r>
      <w:bookmarkStart w:id="7" w:name="cl_c_16"/>
      <w:bookmarkEnd w:id="7"/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:</w:t>
      </w:r>
    </w:p>
    <w:p w14:paraId="6192C1A0" w14:textId="71A702E9" w:rsidR="004C4061" w:rsidRPr="004C4061" w:rsidRDefault="004C4061" w:rsidP="004275CF">
      <w:pPr>
        <w:numPr>
          <w:ilvl w:val="1"/>
          <w:numId w:val="6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Gout tophus present</w:t>
      </w:r>
      <w:bookmarkStart w:id="8" w:name="cl_c_27"/>
      <w:bookmarkStart w:id="9" w:name="cl_c_28"/>
      <w:bookmarkEnd w:id="8"/>
      <w:bookmarkEnd w:id="9"/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</w:t>
      </w:r>
    </w:p>
    <w:p w14:paraId="561B087E" w14:textId="66923428" w:rsidR="004C4061" w:rsidRPr="004C4061" w:rsidRDefault="004C4061" w:rsidP="004275CF">
      <w:pPr>
        <w:numPr>
          <w:ilvl w:val="1"/>
          <w:numId w:val="7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History of Gouty Arthritis</w:t>
      </w:r>
    </w:p>
    <w:p w14:paraId="66219CCB" w14:textId="19EEB153" w:rsidR="004C4061" w:rsidRPr="004C4061" w:rsidRDefault="004C4061" w:rsidP="004275CF">
      <w:pPr>
        <w:numPr>
          <w:ilvl w:val="1"/>
          <w:numId w:val="8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Two or more gout flares in the previous twelve months</w:t>
      </w:r>
      <w:bookmarkStart w:id="10" w:name="cl_c_29"/>
      <w:bookmarkEnd w:id="10"/>
    </w:p>
    <w:p w14:paraId="3288FB7A" w14:textId="0150593C" w:rsidR="004C4061" w:rsidRPr="004C4061" w:rsidRDefault="004C4061" w:rsidP="004275CF">
      <w:pPr>
        <w:numPr>
          <w:ilvl w:val="0"/>
          <w:numId w:val="9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Conventional therapy for gout is not appropriate, as indicated by </w:t>
      </w:r>
      <w:r w:rsidR="004374E1" w:rsidRPr="004C4061"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>ALL</w:t>
      </w: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the following</w:t>
      </w:r>
      <w:bookmarkStart w:id="11" w:name="cl_c_30"/>
      <w:bookmarkStart w:id="12" w:name="cl_c_31"/>
      <w:bookmarkStart w:id="13" w:name="cl_c_32"/>
      <w:bookmarkEnd w:id="11"/>
      <w:bookmarkEnd w:id="12"/>
      <w:bookmarkEnd w:id="13"/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:</w:t>
      </w:r>
    </w:p>
    <w:p w14:paraId="4C244818" w14:textId="128A68D2" w:rsidR="004C4061" w:rsidRPr="004C4061" w:rsidRDefault="004C4061" w:rsidP="004275CF">
      <w:pPr>
        <w:numPr>
          <w:ilvl w:val="1"/>
          <w:numId w:val="10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Serum uric acid has not normalized with conventional therapy.</w:t>
      </w:r>
      <w:bookmarkStart w:id="14" w:name="cl_c_33"/>
      <w:bookmarkEnd w:id="14"/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</w:t>
      </w:r>
    </w:p>
    <w:p w14:paraId="26EE9337" w14:textId="5311F44A" w:rsidR="004C4061" w:rsidRPr="004C4061" w:rsidRDefault="004C4061" w:rsidP="004275CF">
      <w:pPr>
        <w:numPr>
          <w:ilvl w:val="1"/>
          <w:numId w:val="11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Xanthine oxidase inhibitors at maximum medically appropriate dose cannot be administered due to </w:t>
      </w:r>
      <w:r w:rsidRPr="004C4061"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>1 or more</w:t>
      </w: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 of the following</w:t>
      </w:r>
      <w:bookmarkStart w:id="15" w:name="cl_c_34"/>
      <w:bookmarkEnd w:id="15"/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:</w:t>
      </w:r>
    </w:p>
    <w:p w14:paraId="29927E4C" w14:textId="6EC39B62" w:rsidR="004C4061" w:rsidRPr="004C4061" w:rsidRDefault="004C4061" w:rsidP="004275CF">
      <w:pPr>
        <w:numPr>
          <w:ilvl w:val="2"/>
          <w:numId w:val="12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Gout signs and symptoms are not adequately controlled with xanthine oxidase inhibitors (e.g., allopurinol, febuxostat).</w:t>
      </w:r>
    </w:p>
    <w:p w14:paraId="7403F0DD" w14:textId="36673768" w:rsidR="004C4061" w:rsidRPr="004C4061" w:rsidRDefault="004C4061" w:rsidP="004275CF">
      <w:pPr>
        <w:numPr>
          <w:ilvl w:val="2"/>
          <w:numId w:val="13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Xanthine oxidase inhibitors (e.g., allopurinol, febuxostat) are contraindicated.</w:t>
      </w:r>
    </w:p>
    <w:p w14:paraId="563C4485" w14:textId="3E91FE01" w:rsidR="004C4061" w:rsidRPr="004C4061" w:rsidRDefault="004C4061" w:rsidP="004275CF">
      <w:pPr>
        <w:numPr>
          <w:ilvl w:val="0"/>
          <w:numId w:val="14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Glucose-6-phosphate dehydrogenase deficiency is not an issue, as indicated by </w:t>
      </w:r>
      <w:r w:rsidRPr="004C4061"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>1 or more</w:t>
      </w: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 of the following</w:t>
      </w:r>
      <w:bookmarkStart w:id="16" w:name="cl_c_35"/>
      <w:bookmarkStart w:id="17" w:name="cl_c_36"/>
      <w:bookmarkStart w:id="18" w:name="cl_c_37"/>
      <w:bookmarkEnd w:id="16"/>
      <w:bookmarkEnd w:id="17"/>
      <w:bookmarkEnd w:id="18"/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:</w:t>
      </w:r>
    </w:p>
    <w:p w14:paraId="611D946E" w14:textId="55D3A4CE" w:rsidR="004C4061" w:rsidRPr="004C4061" w:rsidRDefault="004C4061" w:rsidP="004275CF">
      <w:pPr>
        <w:numPr>
          <w:ilvl w:val="1"/>
          <w:numId w:val="15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Patient at high risk for glucose-6-phosphate dehydrogenase deficiency (e.g., of Mediterranean or African ancestry) has been screened for glucose-6-phosphate dehydrogenase deficiency and found to be normal.</w:t>
      </w:r>
    </w:p>
    <w:p w14:paraId="46D4324D" w14:textId="77777777" w:rsidR="004C4061" w:rsidRPr="004C4061" w:rsidRDefault="004C4061" w:rsidP="004275CF">
      <w:pPr>
        <w:numPr>
          <w:ilvl w:val="1"/>
          <w:numId w:val="16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Patient is not at high risk for glucose-6-phosphate dehydrogenase deficiency.</w:t>
      </w:r>
    </w:p>
    <w:p w14:paraId="559A94DB" w14:textId="77777777" w:rsidR="004C4061" w:rsidRPr="004C4061" w:rsidRDefault="004C4061" w:rsidP="004275CF">
      <w:pPr>
        <w:numPr>
          <w:ilvl w:val="0"/>
          <w:numId w:val="17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4C4061">
        <w:rPr>
          <w:rFonts w:ascii="Futura" w:eastAsia="Calibri" w:hAnsi="Futura" w:cs="Calibri"/>
          <w:color w:val="000000"/>
          <w:sz w:val="24"/>
          <w:szCs w:val="24"/>
          <w:lang w:bidi="en-US"/>
        </w:rPr>
        <w:t>No concomitant use of oral urate-lowering agents</w:t>
      </w:r>
    </w:p>
    <w:p w14:paraId="1FF5E25F" w14:textId="77777777" w:rsidR="002D78CB" w:rsidRDefault="002D78CB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5618A886" w14:textId="77777777" w:rsidR="00AB5F5A" w:rsidRDefault="00AB5F5A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FDA71F5" w14:textId="77777777" w:rsidR="00AB5F5A" w:rsidRDefault="00AB5F5A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543B1734" w14:textId="77777777" w:rsidR="00AB5F5A" w:rsidRDefault="00AB5F5A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006DC15" w14:textId="77777777" w:rsidR="00AB5F5A" w:rsidRDefault="00AB5F5A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ED2793B" w14:textId="2919B873" w:rsidR="00320403" w:rsidRDefault="00DC1B0C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Duration</w:t>
      </w:r>
      <w:r w:rsidR="009C2524">
        <w:rPr>
          <w:rFonts w:ascii="Futura" w:hAnsi="Futura"/>
          <w:b/>
          <w:bCs/>
          <w:color w:val="00AEDB"/>
          <w:sz w:val="24"/>
          <w:szCs w:val="24"/>
        </w:rPr>
        <w:t xml:space="preserve"> of approval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5B8192B7" w14:textId="77777777" w:rsidR="00320403" w:rsidRDefault="00320403" w:rsidP="00320403">
      <w:p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</w:p>
    <w:p w14:paraId="08068DBB" w14:textId="6B28279F" w:rsidR="00542D9D" w:rsidRPr="00C96407" w:rsidRDefault="009C2524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96407">
        <w:rPr>
          <w:rFonts w:ascii="Futura" w:hAnsi="Futura"/>
          <w:b/>
          <w:bCs/>
          <w:sz w:val="24"/>
          <w:szCs w:val="24"/>
        </w:rPr>
        <w:t>I</w:t>
      </w:r>
      <w:r w:rsidR="00DC1B0C" w:rsidRPr="00C96407">
        <w:rPr>
          <w:rFonts w:ascii="Futura" w:hAnsi="Futura"/>
          <w:b/>
          <w:bCs/>
          <w:sz w:val="24"/>
          <w:szCs w:val="24"/>
        </w:rPr>
        <w:t>nitial authorization</w:t>
      </w:r>
      <w:r w:rsidR="00DC1B0C" w:rsidRPr="00C96407">
        <w:rPr>
          <w:rFonts w:ascii="Futura" w:hAnsi="Futura"/>
          <w:sz w:val="24"/>
          <w:szCs w:val="24"/>
        </w:rPr>
        <w:t xml:space="preserve">: Length requested, </w:t>
      </w:r>
      <w:r w:rsidR="00B8376A" w:rsidRPr="00C96407">
        <w:rPr>
          <w:rFonts w:ascii="Futura" w:hAnsi="Futura"/>
          <w:sz w:val="24"/>
          <w:szCs w:val="24"/>
        </w:rPr>
        <w:t>length specified in the indication above (if applicable), or 12 months, whichever is shortest</w:t>
      </w:r>
    </w:p>
    <w:p w14:paraId="4C701B58" w14:textId="77777777" w:rsidR="00B8376A" w:rsidRPr="00C96407" w:rsidRDefault="00B8376A" w:rsidP="00320403">
      <w:pPr>
        <w:spacing w:after="0" w:line="240" w:lineRule="auto"/>
        <w:rPr>
          <w:rFonts w:ascii="Futura" w:hAnsi="Futura"/>
          <w:sz w:val="24"/>
          <w:szCs w:val="24"/>
        </w:rPr>
      </w:pPr>
    </w:p>
    <w:p w14:paraId="40EDAC36" w14:textId="5163999F" w:rsidR="00B8376A" w:rsidRPr="00C96407" w:rsidRDefault="00B8376A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96407">
        <w:rPr>
          <w:rFonts w:ascii="Futura" w:hAnsi="Futura"/>
          <w:b/>
          <w:bCs/>
          <w:sz w:val="24"/>
          <w:szCs w:val="24"/>
        </w:rPr>
        <w:t>Reauthorization</w:t>
      </w:r>
      <w:r w:rsidRPr="00C96407">
        <w:rPr>
          <w:rFonts w:ascii="Futura" w:hAnsi="Futura"/>
          <w:sz w:val="24"/>
          <w:szCs w:val="24"/>
        </w:rPr>
        <w:t xml:space="preserve">: </w:t>
      </w:r>
      <w:r w:rsidR="00C96407" w:rsidRPr="00C96407">
        <w:rPr>
          <w:rFonts w:ascii="Futura" w:hAnsi="Futura"/>
          <w:sz w:val="24"/>
          <w:szCs w:val="24"/>
        </w:rPr>
        <w:t>Length requested, length specified in the indication above (if applicable), or 12 months, whichever is shortest</w:t>
      </w:r>
    </w:p>
    <w:p w14:paraId="0323F364" w14:textId="77777777" w:rsidR="00C96407" w:rsidRDefault="00C9640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6080660B" w14:textId="062258A2" w:rsidR="00320403" w:rsidRDefault="00CD209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Exception Criteria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58F1F639" w14:textId="77777777" w:rsidR="00C3149B" w:rsidRDefault="00C3149B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11702901" w14:textId="0DC5A27F" w:rsidR="005C3DC3" w:rsidRDefault="00F95A1F" w:rsidP="004275CF">
      <w:pPr>
        <w:pStyle w:val="ListParagraph"/>
        <w:numPr>
          <w:ilvl w:val="0"/>
          <w:numId w:val="3"/>
        </w:num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>Exception</w:t>
      </w:r>
      <w:r w:rsidR="00705F98">
        <w:rPr>
          <w:rFonts w:ascii="Futura" w:hAnsi="Futura"/>
          <w:sz w:val="24"/>
          <w:szCs w:val="24"/>
        </w:rPr>
        <w:t xml:space="preserve">s may need to be reviewed on multiple levels depending on the agent requested: </w:t>
      </w:r>
      <w:r w:rsidR="006C2777">
        <w:rPr>
          <w:rFonts w:ascii="Futura" w:hAnsi="Futura"/>
          <w:sz w:val="24"/>
          <w:szCs w:val="24"/>
        </w:rPr>
        <w:t xml:space="preserve">documentation of inadequate response, contraindication, adverse event or otherwise must be demonstrated for a </w:t>
      </w:r>
      <w:r w:rsidR="00997735">
        <w:rPr>
          <w:rFonts w:ascii="Futura" w:hAnsi="Futura"/>
          <w:sz w:val="24"/>
          <w:szCs w:val="24"/>
        </w:rPr>
        <w:t>preferred</w:t>
      </w:r>
      <w:r w:rsidR="006C2777">
        <w:rPr>
          <w:rFonts w:ascii="Futura" w:hAnsi="Futura"/>
          <w:sz w:val="24"/>
          <w:szCs w:val="24"/>
        </w:rPr>
        <w:t xml:space="preserve"> agent if request</w:t>
      </w:r>
      <w:r w:rsidR="00997735">
        <w:rPr>
          <w:rFonts w:ascii="Futura" w:hAnsi="Futura"/>
          <w:sz w:val="24"/>
          <w:szCs w:val="24"/>
        </w:rPr>
        <w:t xml:space="preserve">ing a secondary agent, and for </w:t>
      </w:r>
      <w:r w:rsidR="00AB6317">
        <w:rPr>
          <w:rFonts w:ascii="Futura" w:hAnsi="Futura"/>
          <w:sz w:val="24"/>
          <w:szCs w:val="24"/>
        </w:rPr>
        <w:t>preferred</w:t>
      </w:r>
      <w:r w:rsidR="00997735">
        <w:rPr>
          <w:rFonts w:ascii="Futura" w:hAnsi="Futura"/>
          <w:sz w:val="24"/>
          <w:szCs w:val="24"/>
        </w:rPr>
        <w:t xml:space="preserve"> and second</w:t>
      </w:r>
      <w:r w:rsidR="00AB6317">
        <w:rPr>
          <w:rFonts w:ascii="Futura" w:hAnsi="Futura"/>
          <w:sz w:val="24"/>
          <w:szCs w:val="24"/>
        </w:rPr>
        <w:t>ary agents if requesting a tertiary agent.</w:t>
      </w:r>
    </w:p>
    <w:p w14:paraId="6111E178" w14:textId="5A2B7DA4" w:rsidR="0072503A" w:rsidRDefault="00002541" w:rsidP="004275CF">
      <w:pPr>
        <w:pStyle w:val="ListParagraph"/>
        <w:numPr>
          <w:ilvl w:val="0"/>
          <w:numId w:val="3"/>
        </w:num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 xml:space="preserve">Coverage for a secondary or tertiary agent will be considered if </w:t>
      </w:r>
      <w:r w:rsidR="00EF0772">
        <w:rPr>
          <w:rFonts w:ascii="Futura" w:hAnsi="Futura"/>
          <w:sz w:val="24"/>
          <w:szCs w:val="24"/>
        </w:rPr>
        <w:t xml:space="preserve">there is documentation of a continuation of therapy </w:t>
      </w:r>
      <w:r w:rsidR="0072503A">
        <w:rPr>
          <w:rFonts w:ascii="Futura" w:hAnsi="Futura"/>
          <w:sz w:val="24"/>
          <w:szCs w:val="24"/>
        </w:rPr>
        <w:t xml:space="preserve">within the past </w:t>
      </w:r>
      <w:r w:rsidR="00DF4375">
        <w:rPr>
          <w:rFonts w:ascii="Futura" w:hAnsi="Futura"/>
          <w:sz w:val="24"/>
          <w:szCs w:val="24"/>
        </w:rPr>
        <w:t>365</w:t>
      </w:r>
      <w:r w:rsidR="0072503A">
        <w:rPr>
          <w:rFonts w:ascii="Futura" w:hAnsi="Futura"/>
          <w:sz w:val="24"/>
          <w:szCs w:val="24"/>
        </w:rPr>
        <w:t xml:space="preserve"> days (if new) or if it is a reauthorization request.</w:t>
      </w:r>
    </w:p>
    <w:p w14:paraId="2CB2D8D3" w14:textId="569963ED" w:rsidR="00856D17" w:rsidRDefault="00856D17" w:rsidP="004275CF">
      <w:pPr>
        <w:pStyle w:val="ListParagraph"/>
        <w:numPr>
          <w:ilvl w:val="0"/>
          <w:numId w:val="3"/>
        </w:num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 xml:space="preserve">In either of the above situations, the product </w:t>
      </w:r>
      <w:r w:rsidR="009A5611">
        <w:rPr>
          <w:rFonts w:ascii="Futura" w:hAnsi="Futura"/>
          <w:sz w:val="24"/>
          <w:szCs w:val="24"/>
        </w:rPr>
        <w:t xml:space="preserve">being used cannot be based on </w:t>
      </w:r>
      <w:r w:rsidR="00EB0294">
        <w:rPr>
          <w:rFonts w:ascii="Futura" w:hAnsi="Futura"/>
          <w:sz w:val="24"/>
          <w:szCs w:val="24"/>
        </w:rPr>
        <w:t>the use</w:t>
      </w:r>
      <w:r w:rsidR="009A5611">
        <w:rPr>
          <w:rFonts w:ascii="Futura" w:hAnsi="Futura"/>
          <w:sz w:val="24"/>
          <w:szCs w:val="24"/>
        </w:rPr>
        <w:t xml:space="preserve"> of samples or products provided through manufacturer patient assistance programs.</w:t>
      </w:r>
    </w:p>
    <w:p w14:paraId="72AA080E" w14:textId="588395C2" w:rsidR="00472F92" w:rsidRPr="00632CBB" w:rsidRDefault="00632CBB" w:rsidP="004275CF">
      <w:pPr>
        <w:pStyle w:val="ListParagraph"/>
        <w:numPr>
          <w:ilvl w:val="0"/>
          <w:numId w:val="3"/>
        </w:num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>The PBM is responsible for processing Part D prior authorizations, redeterminations, exceptions and otherwise.  Please consult the most current formulary and prior authorization criteria for content.</w:t>
      </w:r>
    </w:p>
    <w:p w14:paraId="55CF9D8D" w14:textId="77777777" w:rsidR="00CD2097" w:rsidRDefault="00CD209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4577D0A3" w14:textId="0559CE6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Reference(s): </w:t>
      </w:r>
    </w:p>
    <w:p w14:paraId="208BE092" w14:textId="7777777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2FB0FFEE" w14:textId="7356D741" w:rsidR="006905E1" w:rsidRPr="008B66CF" w:rsidRDefault="00632CBB" w:rsidP="004275CF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Krystexxa</w:t>
      </w:r>
      <w:r w:rsidR="006905E1" w:rsidRPr="008B66CF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package insert. </w:t>
      </w:r>
      <w:hyperlink r:id="rId10" w:history="1">
        <w:r w:rsidR="00EB0294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https://www.hzndocs.com/KRYSTEXXA-Prescribing-Information.pdf</w:t>
        </w:r>
      </w:hyperlink>
    </w:p>
    <w:p w14:paraId="2A62542D" w14:textId="0E05B082" w:rsidR="00FA7C17" w:rsidRPr="00F64756" w:rsidRDefault="00F64756" w:rsidP="004275CF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eternalHealth Medicare Part B Prior Authorization List.  </w:t>
      </w:r>
      <w:hyperlink r:id="rId11" w:history="1">
        <w:r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https://www.eternalhealth.com/wp-content/uploads/2022/10/eternalHealth_MA-Part-B-PA-List-eff-1-1-2025.pdf</w:t>
        </w:r>
      </w:hyperlink>
    </w:p>
    <w:p w14:paraId="55401300" w14:textId="177C702B" w:rsidR="00A46203" w:rsidRPr="00AA09A0" w:rsidRDefault="00F45E5D" w:rsidP="004275CF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CMS ASP Pricing Files.  </w:t>
      </w:r>
      <w:hyperlink r:id="rId12" w:history="1">
        <w:r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https://www.cms.gov/medicare/payment/part-b-drugs/asp-pricing-files</w:t>
        </w:r>
      </w:hyperlink>
    </w:p>
    <w:p w14:paraId="0660324A" w14:textId="77777777" w:rsidR="009C7DD7" w:rsidRDefault="009C7DD7" w:rsidP="009C7DD7">
      <w:pPr>
        <w:pStyle w:val="ListParagraph"/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17ACA0E" w14:textId="0FC644FC" w:rsidR="000D5D23" w:rsidRPr="00171CC3" w:rsidRDefault="000D5D23" w:rsidP="00320403">
      <w:pPr>
        <w:widowControl w:val="0"/>
        <w:autoSpaceDE w:val="0"/>
        <w:autoSpaceDN w:val="0"/>
        <w:spacing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sectPr w:rsidR="000D5D23" w:rsidRPr="00171CC3" w:rsidSect="00CB0ED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Futura">
    <w:altName w:val="Century Gothic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8"/>
    <w:multiLevelType w:val="hybridMultilevel"/>
    <w:tmpl w:val="86DA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F26E8"/>
    <w:multiLevelType w:val="hybridMultilevel"/>
    <w:tmpl w:val="D104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E15F3"/>
    <w:multiLevelType w:val="multilevel"/>
    <w:tmpl w:val="8892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F6B5F"/>
    <w:multiLevelType w:val="hybridMultilevel"/>
    <w:tmpl w:val="E640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627E8"/>
    <w:multiLevelType w:val="multilevel"/>
    <w:tmpl w:val="3AAE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265964">
    <w:abstractNumId w:val="0"/>
  </w:num>
  <w:num w:numId="2" w16cid:durableId="31996377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197693514">
    <w:abstractNumId w:val="1"/>
  </w:num>
  <w:num w:numId="4" w16cid:durableId="1154754969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89716004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47626189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 w16cid:durableId="133372827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 w16cid:durableId="1931888089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9" w16cid:durableId="1244101229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0034214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1" w16cid:durableId="178680380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 w16cid:durableId="7850828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187099183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204297039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168389460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6" w16cid:durableId="822157449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7" w16cid:durableId="194518520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3277846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C3"/>
    <w:rsid w:val="00002194"/>
    <w:rsid w:val="00002541"/>
    <w:rsid w:val="00006F2B"/>
    <w:rsid w:val="000216B1"/>
    <w:rsid w:val="00025225"/>
    <w:rsid w:val="00047F42"/>
    <w:rsid w:val="00050288"/>
    <w:rsid w:val="0005293D"/>
    <w:rsid w:val="00055090"/>
    <w:rsid w:val="0006286C"/>
    <w:rsid w:val="00070C3E"/>
    <w:rsid w:val="00084B4D"/>
    <w:rsid w:val="00087AC4"/>
    <w:rsid w:val="000951BF"/>
    <w:rsid w:val="00095439"/>
    <w:rsid w:val="000A72D9"/>
    <w:rsid w:val="000C7E39"/>
    <w:rsid w:val="000D5D23"/>
    <w:rsid w:val="000E48B4"/>
    <w:rsid w:val="000F0644"/>
    <w:rsid w:val="000F5645"/>
    <w:rsid w:val="0010271C"/>
    <w:rsid w:val="00110ABA"/>
    <w:rsid w:val="00111DE8"/>
    <w:rsid w:val="00111E83"/>
    <w:rsid w:val="00114DFB"/>
    <w:rsid w:val="0013315A"/>
    <w:rsid w:val="00146F48"/>
    <w:rsid w:val="00151F12"/>
    <w:rsid w:val="00163B05"/>
    <w:rsid w:val="00171CC3"/>
    <w:rsid w:val="001732AA"/>
    <w:rsid w:val="0017367D"/>
    <w:rsid w:val="0017549C"/>
    <w:rsid w:val="0018204C"/>
    <w:rsid w:val="001A17A5"/>
    <w:rsid w:val="001C3AA0"/>
    <w:rsid w:val="001C6D04"/>
    <w:rsid w:val="001D3758"/>
    <w:rsid w:val="001D485D"/>
    <w:rsid w:val="001D52B4"/>
    <w:rsid w:val="001F2395"/>
    <w:rsid w:val="002068E2"/>
    <w:rsid w:val="00217E56"/>
    <w:rsid w:val="00222323"/>
    <w:rsid w:val="00232169"/>
    <w:rsid w:val="00234EA0"/>
    <w:rsid w:val="00244FDD"/>
    <w:rsid w:val="00255C58"/>
    <w:rsid w:val="00261E9C"/>
    <w:rsid w:val="00262255"/>
    <w:rsid w:val="00270308"/>
    <w:rsid w:val="00277C44"/>
    <w:rsid w:val="00282EC9"/>
    <w:rsid w:val="00284C10"/>
    <w:rsid w:val="0029343B"/>
    <w:rsid w:val="002B2E6E"/>
    <w:rsid w:val="002C19CE"/>
    <w:rsid w:val="002C661D"/>
    <w:rsid w:val="002C7A14"/>
    <w:rsid w:val="002D3FFC"/>
    <w:rsid w:val="002D78CB"/>
    <w:rsid w:val="002F4966"/>
    <w:rsid w:val="00310B8F"/>
    <w:rsid w:val="00311667"/>
    <w:rsid w:val="00320403"/>
    <w:rsid w:val="00323429"/>
    <w:rsid w:val="0033442B"/>
    <w:rsid w:val="00362E72"/>
    <w:rsid w:val="00370721"/>
    <w:rsid w:val="00372252"/>
    <w:rsid w:val="0038314B"/>
    <w:rsid w:val="00384870"/>
    <w:rsid w:val="003A3BE8"/>
    <w:rsid w:val="003B405F"/>
    <w:rsid w:val="003E1B92"/>
    <w:rsid w:val="003E5ADF"/>
    <w:rsid w:val="003E698F"/>
    <w:rsid w:val="003F0AB1"/>
    <w:rsid w:val="00400AA7"/>
    <w:rsid w:val="00401E90"/>
    <w:rsid w:val="004057BB"/>
    <w:rsid w:val="00405835"/>
    <w:rsid w:val="00406341"/>
    <w:rsid w:val="00407604"/>
    <w:rsid w:val="0041548D"/>
    <w:rsid w:val="0041776D"/>
    <w:rsid w:val="004219F6"/>
    <w:rsid w:val="004275CF"/>
    <w:rsid w:val="0043033F"/>
    <w:rsid w:val="00436A19"/>
    <w:rsid w:val="00436E7B"/>
    <w:rsid w:val="004374E1"/>
    <w:rsid w:val="00446EA0"/>
    <w:rsid w:val="00452D0D"/>
    <w:rsid w:val="00466972"/>
    <w:rsid w:val="00467FD5"/>
    <w:rsid w:val="00472F92"/>
    <w:rsid w:val="004731AC"/>
    <w:rsid w:val="00474DCE"/>
    <w:rsid w:val="004807F3"/>
    <w:rsid w:val="0048304F"/>
    <w:rsid w:val="00485617"/>
    <w:rsid w:val="004876ED"/>
    <w:rsid w:val="00497B99"/>
    <w:rsid w:val="004A6CAF"/>
    <w:rsid w:val="004B711A"/>
    <w:rsid w:val="004B7D0A"/>
    <w:rsid w:val="004B7D63"/>
    <w:rsid w:val="004C0644"/>
    <w:rsid w:val="004C0821"/>
    <w:rsid w:val="004C4061"/>
    <w:rsid w:val="004D2348"/>
    <w:rsid w:val="004D2403"/>
    <w:rsid w:val="004E3731"/>
    <w:rsid w:val="004E3830"/>
    <w:rsid w:val="004F0D94"/>
    <w:rsid w:val="004F3B63"/>
    <w:rsid w:val="004F56DC"/>
    <w:rsid w:val="004F5EE3"/>
    <w:rsid w:val="004F6CF7"/>
    <w:rsid w:val="005027EC"/>
    <w:rsid w:val="00506E5F"/>
    <w:rsid w:val="00510459"/>
    <w:rsid w:val="0051220F"/>
    <w:rsid w:val="005226EB"/>
    <w:rsid w:val="005269B9"/>
    <w:rsid w:val="005372E4"/>
    <w:rsid w:val="00541A38"/>
    <w:rsid w:val="00541FB8"/>
    <w:rsid w:val="00542D9D"/>
    <w:rsid w:val="0054657C"/>
    <w:rsid w:val="0055003C"/>
    <w:rsid w:val="00554794"/>
    <w:rsid w:val="00563F86"/>
    <w:rsid w:val="00564D9D"/>
    <w:rsid w:val="00570E5B"/>
    <w:rsid w:val="00574C5A"/>
    <w:rsid w:val="00581FB0"/>
    <w:rsid w:val="00587BC5"/>
    <w:rsid w:val="00596AA0"/>
    <w:rsid w:val="005A4D07"/>
    <w:rsid w:val="005A5076"/>
    <w:rsid w:val="005B1B78"/>
    <w:rsid w:val="005B5D37"/>
    <w:rsid w:val="005B66F8"/>
    <w:rsid w:val="005C3DC3"/>
    <w:rsid w:val="005D0A2F"/>
    <w:rsid w:val="00627E28"/>
    <w:rsid w:val="0063092D"/>
    <w:rsid w:val="006315C5"/>
    <w:rsid w:val="00632CBB"/>
    <w:rsid w:val="00643E03"/>
    <w:rsid w:val="00644051"/>
    <w:rsid w:val="00645EAC"/>
    <w:rsid w:val="00647389"/>
    <w:rsid w:val="006502EC"/>
    <w:rsid w:val="006522B1"/>
    <w:rsid w:val="00652714"/>
    <w:rsid w:val="006661F8"/>
    <w:rsid w:val="00671635"/>
    <w:rsid w:val="00672EF0"/>
    <w:rsid w:val="006747AA"/>
    <w:rsid w:val="00682D71"/>
    <w:rsid w:val="006837C1"/>
    <w:rsid w:val="006905E1"/>
    <w:rsid w:val="006C2777"/>
    <w:rsid w:val="006C570F"/>
    <w:rsid w:val="006C791A"/>
    <w:rsid w:val="006D4720"/>
    <w:rsid w:val="006E1546"/>
    <w:rsid w:val="006E2283"/>
    <w:rsid w:val="006E7273"/>
    <w:rsid w:val="0070226E"/>
    <w:rsid w:val="00702342"/>
    <w:rsid w:val="00705F98"/>
    <w:rsid w:val="0071688B"/>
    <w:rsid w:val="007230EC"/>
    <w:rsid w:val="0072344F"/>
    <w:rsid w:val="0072503A"/>
    <w:rsid w:val="007301A3"/>
    <w:rsid w:val="007320D1"/>
    <w:rsid w:val="00740D32"/>
    <w:rsid w:val="00741603"/>
    <w:rsid w:val="00741841"/>
    <w:rsid w:val="00742CF1"/>
    <w:rsid w:val="00745EEC"/>
    <w:rsid w:val="00747DAE"/>
    <w:rsid w:val="00760A91"/>
    <w:rsid w:val="007610DB"/>
    <w:rsid w:val="00764E03"/>
    <w:rsid w:val="007812DC"/>
    <w:rsid w:val="007A409D"/>
    <w:rsid w:val="007A411C"/>
    <w:rsid w:val="007B4386"/>
    <w:rsid w:val="007C25F4"/>
    <w:rsid w:val="007C5A44"/>
    <w:rsid w:val="007D2B5D"/>
    <w:rsid w:val="007E38D8"/>
    <w:rsid w:val="007F4F63"/>
    <w:rsid w:val="00811596"/>
    <w:rsid w:val="008169B9"/>
    <w:rsid w:val="00821D58"/>
    <w:rsid w:val="008224A5"/>
    <w:rsid w:val="00827A7B"/>
    <w:rsid w:val="00832A58"/>
    <w:rsid w:val="00833D5F"/>
    <w:rsid w:val="00834861"/>
    <w:rsid w:val="00835DAB"/>
    <w:rsid w:val="00853AE4"/>
    <w:rsid w:val="008562BA"/>
    <w:rsid w:val="00856D17"/>
    <w:rsid w:val="00867E8D"/>
    <w:rsid w:val="00883B3D"/>
    <w:rsid w:val="00892C1A"/>
    <w:rsid w:val="00892F25"/>
    <w:rsid w:val="008A7D57"/>
    <w:rsid w:val="008B3057"/>
    <w:rsid w:val="008B38E2"/>
    <w:rsid w:val="008B66CF"/>
    <w:rsid w:val="008B6898"/>
    <w:rsid w:val="008B7DE9"/>
    <w:rsid w:val="008C42AD"/>
    <w:rsid w:val="008D39C3"/>
    <w:rsid w:val="008D3BB4"/>
    <w:rsid w:val="008E134A"/>
    <w:rsid w:val="008E1C8A"/>
    <w:rsid w:val="008E33BB"/>
    <w:rsid w:val="008F1491"/>
    <w:rsid w:val="008F3574"/>
    <w:rsid w:val="008F6DA5"/>
    <w:rsid w:val="008F7EDA"/>
    <w:rsid w:val="0090595D"/>
    <w:rsid w:val="00917608"/>
    <w:rsid w:val="0092568E"/>
    <w:rsid w:val="00930C83"/>
    <w:rsid w:val="00934560"/>
    <w:rsid w:val="0093575C"/>
    <w:rsid w:val="00944973"/>
    <w:rsid w:val="009551AB"/>
    <w:rsid w:val="00962F45"/>
    <w:rsid w:val="0096655A"/>
    <w:rsid w:val="00967F85"/>
    <w:rsid w:val="00972E5F"/>
    <w:rsid w:val="00973896"/>
    <w:rsid w:val="00977B41"/>
    <w:rsid w:val="009815F3"/>
    <w:rsid w:val="0098253C"/>
    <w:rsid w:val="00984FC0"/>
    <w:rsid w:val="00997735"/>
    <w:rsid w:val="009A1FD0"/>
    <w:rsid w:val="009A5611"/>
    <w:rsid w:val="009A65B2"/>
    <w:rsid w:val="009B2EC7"/>
    <w:rsid w:val="009C1F2E"/>
    <w:rsid w:val="009C2524"/>
    <w:rsid w:val="009C7DD7"/>
    <w:rsid w:val="009E5E17"/>
    <w:rsid w:val="009F51BE"/>
    <w:rsid w:val="009F67D8"/>
    <w:rsid w:val="009F7E38"/>
    <w:rsid w:val="00A05151"/>
    <w:rsid w:val="00A06D28"/>
    <w:rsid w:val="00A31EC2"/>
    <w:rsid w:val="00A41C59"/>
    <w:rsid w:val="00A46203"/>
    <w:rsid w:val="00A510FE"/>
    <w:rsid w:val="00A52B40"/>
    <w:rsid w:val="00A54A77"/>
    <w:rsid w:val="00A653B4"/>
    <w:rsid w:val="00A674D1"/>
    <w:rsid w:val="00A74550"/>
    <w:rsid w:val="00A77887"/>
    <w:rsid w:val="00A8078C"/>
    <w:rsid w:val="00A85AC1"/>
    <w:rsid w:val="00A862D2"/>
    <w:rsid w:val="00A9620B"/>
    <w:rsid w:val="00AA09A0"/>
    <w:rsid w:val="00AB5F5A"/>
    <w:rsid w:val="00AB6317"/>
    <w:rsid w:val="00AC208E"/>
    <w:rsid w:val="00AC3D96"/>
    <w:rsid w:val="00AC43D5"/>
    <w:rsid w:val="00AE372C"/>
    <w:rsid w:val="00B02432"/>
    <w:rsid w:val="00B125DE"/>
    <w:rsid w:val="00B15188"/>
    <w:rsid w:val="00B15619"/>
    <w:rsid w:val="00B23FE9"/>
    <w:rsid w:val="00B30CF8"/>
    <w:rsid w:val="00B317BA"/>
    <w:rsid w:val="00B34984"/>
    <w:rsid w:val="00B36AE9"/>
    <w:rsid w:val="00B60BDE"/>
    <w:rsid w:val="00B77D2D"/>
    <w:rsid w:val="00B816C0"/>
    <w:rsid w:val="00B8376A"/>
    <w:rsid w:val="00B85E44"/>
    <w:rsid w:val="00B864D2"/>
    <w:rsid w:val="00B87B8F"/>
    <w:rsid w:val="00B87C5F"/>
    <w:rsid w:val="00B92C2A"/>
    <w:rsid w:val="00B9346B"/>
    <w:rsid w:val="00B945C9"/>
    <w:rsid w:val="00BA7316"/>
    <w:rsid w:val="00BB10D4"/>
    <w:rsid w:val="00BB3294"/>
    <w:rsid w:val="00BC07B2"/>
    <w:rsid w:val="00BC0C87"/>
    <w:rsid w:val="00BD3E6B"/>
    <w:rsid w:val="00BE6FAE"/>
    <w:rsid w:val="00BF3791"/>
    <w:rsid w:val="00C05623"/>
    <w:rsid w:val="00C11803"/>
    <w:rsid w:val="00C11B4C"/>
    <w:rsid w:val="00C142D2"/>
    <w:rsid w:val="00C15C77"/>
    <w:rsid w:val="00C23085"/>
    <w:rsid w:val="00C2471A"/>
    <w:rsid w:val="00C3132D"/>
    <w:rsid w:val="00C3149B"/>
    <w:rsid w:val="00C5183F"/>
    <w:rsid w:val="00C523F4"/>
    <w:rsid w:val="00C54511"/>
    <w:rsid w:val="00C71E74"/>
    <w:rsid w:val="00C82C80"/>
    <w:rsid w:val="00C84EFE"/>
    <w:rsid w:val="00C86425"/>
    <w:rsid w:val="00C9120D"/>
    <w:rsid w:val="00C96407"/>
    <w:rsid w:val="00CA4636"/>
    <w:rsid w:val="00CB0EDA"/>
    <w:rsid w:val="00CB4D37"/>
    <w:rsid w:val="00CB5E28"/>
    <w:rsid w:val="00CC2B10"/>
    <w:rsid w:val="00CD2097"/>
    <w:rsid w:val="00CD610B"/>
    <w:rsid w:val="00CD64B2"/>
    <w:rsid w:val="00CD77BC"/>
    <w:rsid w:val="00CE20F1"/>
    <w:rsid w:val="00CE393E"/>
    <w:rsid w:val="00CE56FF"/>
    <w:rsid w:val="00CF0A83"/>
    <w:rsid w:val="00CF1F36"/>
    <w:rsid w:val="00D001BF"/>
    <w:rsid w:val="00D0049A"/>
    <w:rsid w:val="00D0674C"/>
    <w:rsid w:val="00D13DDD"/>
    <w:rsid w:val="00D242BA"/>
    <w:rsid w:val="00D25F21"/>
    <w:rsid w:val="00D26F9F"/>
    <w:rsid w:val="00D319BA"/>
    <w:rsid w:val="00D35663"/>
    <w:rsid w:val="00D41FEF"/>
    <w:rsid w:val="00D54E25"/>
    <w:rsid w:val="00D7097F"/>
    <w:rsid w:val="00D9029B"/>
    <w:rsid w:val="00DA133F"/>
    <w:rsid w:val="00DB19EA"/>
    <w:rsid w:val="00DB4210"/>
    <w:rsid w:val="00DB428A"/>
    <w:rsid w:val="00DC1B0C"/>
    <w:rsid w:val="00DD1951"/>
    <w:rsid w:val="00DE1724"/>
    <w:rsid w:val="00DF38F3"/>
    <w:rsid w:val="00DF4375"/>
    <w:rsid w:val="00E01AE9"/>
    <w:rsid w:val="00E03060"/>
    <w:rsid w:val="00E0375A"/>
    <w:rsid w:val="00E1012C"/>
    <w:rsid w:val="00E15732"/>
    <w:rsid w:val="00E22BA1"/>
    <w:rsid w:val="00E36BFB"/>
    <w:rsid w:val="00E36E50"/>
    <w:rsid w:val="00E42974"/>
    <w:rsid w:val="00E51E1F"/>
    <w:rsid w:val="00E70CA5"/>
    <w:rsid w:val="00E72D06"/>
    <w:rsid w:val="00E768B3"/>
    <w:rsid w:val="00E85687"/>
    <w:rsid w:val="00E96D83"/>
    <w:rsid w:val="00EB0294"/>
    <w:rsid w:val="00EB5152"/>
    <w:rsid w:val="00ED3544"/>
    <w:rsid w:val="00ED739E"/>
    <w:rsid w:val="00EE2944"/>
    <w:rsid w:val="00EE7D5B"/>
    <w:rsid w:val="00EF0772"/>
    <w:rsid w:val="00EF112B"/>
    <w:rsid w:val="00EF60ED"/>
    <w:rsid w:val="00F034BA"/>
    <w:rsid w:val="00F114E0"/>
    <w:rsid w:val="00F11EF3"/>
    <w:rsid w:val="00F1311D"/>
    <w:rsid w:val="00F13FFD"/>
    <w:rsid w:val="00F1578C"/>
    <w:rsid w:val="00F304BD"/>
    <w:rsid w:val="00F360A6"/>
    <w:rsid w:val="00F36C54"/>
    <w:rsid w:val="00F4152B"/>
    <w:rsid w:val="00F45E5D"/>
    <w:rsid w:val="00F524DA"/>
    <w:rsid w:val="00F52D8E"/>
    <w:rsid w:val="00F57795"/>
    <w:rsid w:val="00F57FC9"/>
    <w:rsid w:val="00F64756"/>
    <w:rsid w:val="00F94EF6"/>
    <w:rsid w:val="00F9505E"/>
    <w:rsid w:val="00F95A1F"/>
    <w:rsid w:val="00F96E21"/>
    <w:rsid w:val="00F97CFE"/>
    <w:rsid w:val="00FA3D8A"/>
    <w:rsid w:val="00FA4408"/>
    <w:rsid w:val="00FA4672"/>
    <w:rsid w:val="00FA7C17"/>
    <w:rsid w:val="00FB35AF"/>
    <w:rsid w:val="00FB396E"/>
    <w:rsid w:val="00FC1668"/>
    <w:rsid w:val="00FC1E7C"/>
    <w:rsid w:val="00FC2ADC"/>
    <w:rsid w:val="00FC554A"/>
    <w:rsid w:val="00FD42FF"/>
    <w:rsid w:val="00FE2ABC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1F0F"/>
  <w15:chartTrackingRefBased/>
  <w15:docId w15:val="{BA3DBEAA-AC70-4E0D-960D-288322D3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6F8"/>
  </w:style>
  <w:style w:type="paragraph" w:styleId="Heading1">
    <w:name w:val="heading 1"/>
    <w:basedOn w:val="Normal"/>
    <w:next w:val="Normal"/>
    <w:link w:val="Heading1Char"/>
    <w:uiPriority w:val="9"/>
    <w:qFormat/>
    <w:rsid w:val="00650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71C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71CC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17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5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20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0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60BDE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23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ms.gov/medicare/payment/part-b-drugs/asp-pricing-fil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ternalhealth.com/wp-content/uploads/2022/10/eternalHealth_MA-Part-B-PA-List-eff-1-1-2025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hzndocs.com/KRYSTEXXA-Prescribing-Information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elcome.optumrx.com/rxexternal/external-prescription-drug-list?type=PDPClientFormulary&amp;var=X25ETEGD&amp;infoid=X25ETEGD&amp;clientCode=ETHOE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e0462-7ad9-4cf3-8274-aa0cc4f080f3">
      <Terms xmlns="http://schemas.microsoft.com/office/infopath/2007/PartnerControls"/>
    </lcf76f155ced4ddcb4097134ff3c332f>
    <TaxCatchAll xmlns="2498f20f-782f-4f87-afd5-421022d6a8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3728796F1AF49AA5EE7049D0CA2DC" ma:contentTypeVersion="14" ma:contentTypeDescription="Create a new document." ma:contentTypeScope="" ma:versionID="65de5af41dbab921a85d81f10df3da20">
  <xsd:schema xmlns:xsd="http://www.w3.org/2001/XMLSchema" xmlns:xs="http://www.w3.org/2001/XMLSchema" xmlns:p="http://schemas.microsoft.com/office/2006/metadata/properties" xmlns:ns2="febe0462-7ad9-4cf3-8274-aa0cc4f080f3" xmlns:ns3="2498f20f-782f-4f87-afd5-421022d6a89d" targetNamespace="http://schemas.microsoft.com/office/2006/metadata/properties" ma:root="true" ma:fieldsID="0bf25b7367e3d42f5cee4169929b16ed" ns2:_="" ns3:_="">
    <xsd:import namespace="febe0462-7ad9-4cf3-8274-aa0cc4f080f3"/>
    <xsd:import namespace="2498f20f-782f-4f87-afd5-421022d6a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0462-7ad9-4cf3-8274-aa0cc4f08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46684a-a19c-4d21-91c6-41048820a2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8f20f-782f-4f87-afd5-421022d6a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65e6f0-0859-4a49-ae1b-b418d9cfe567}" ma:internalName="TaxCatchAll" ma:showField="CatchAllData" ma:web="2498f20f-782f-4f87-afd5-421022d6a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7D37D-E0D8-46F7-BEDF-FFBFBD885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CF4EE-56B7-4BC8-9965-1CCC54DC16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ba3640-328d-449a-9f7d-a6e0f48b18e2"/>
    <ds:schemaRef ds:uri="8a5f5284-53ab-4ff8-b83a-40cadec04070"/>
  </ds:schemaRefs>
</ds:datastoreItem>
</file>

<file path=customXml/itemProps3.xml><?xml version="1.0" encoding="utf-8"?>
<ds:datastoreItem xmlns:ds="http://schemas.openxmlformats.org/officeDocument/2006/customXml" ds:itemID="{D300300A-C17D-49CF-910F-3F26F9FCD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Cardinal</dc:creator>
  <cp:keywords/>
  <dc:description/>
  <cp:lastModifiedBy>John Vellutato</cp:lastModifiedBy>
  <cp:revision>4</cp:revision>
  <dcterms:created xsi:type="dcterms:W3CDTF">2025-04-09T13:58:00Z</dcterms:created>
  <dcterms:modified xsi:type="dcterms:W3CDTF">2025-07-28T19:28:00Z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0x0101004673728796F1AF49AA5EE7049D0CA2DC</vt:lpwstr>
  </property>
</Properties>
</file>