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1E23" w14:textId="739D08A7" w:rsidR="00682D71" w:rsidRDefault="00171CC3">
      <w:r>
        <w:rPr>
          <w:noProof/>
        </w:rPr>
        <w:drawing>
          <wp:anchor distT="0" distB="0" distL="114300" distR="114300" simplePos="0" relativeHeight="251659264" behindDoc="1" locked="0" layoutInCell="1" allowOverlap="1" wp14:anchorId="6A61DFF5" wp14:editId="6318911E">
            <wp:simplePos x="0" y="0"/>
            <wp:positionH relativeFrom="column">
              <wp:posOffset>1060704</wp:posOffset>
            </wp:positionH>
            <wp:positionV relativeFrom="paragraph">
              <wp:posOffset>17290</wp:posOffset>
            </wp:positionV>
            <wp:extent cx="3721100" cy="644869"/>
            <wp:effectExtent l="0" t="0" r="0" b="317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64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36E08" w14:textId="77777777" w:rsidR="00171CC3" w:rsidRPr="00171CC3" w:rsidRDefault="00171CC3" w:rsidP="00171CC3"/>
    <w:p w14:paraId="45427FC3" w14:textId="77777777" w:rsidR="00171CC3" w:rsidRPr="00A95390" w:rsidRDefault="00171CC3" w:rsidP="00171CC3">
      <w:pPr>
        <w:widowControl w:val="0"/>
        <w:autoSpaceDE w:val="0"/>
        <w:autoSpaceDN w:val="0"/>
        <w:spacing w:before="40" w:line="305" w:lineRule="auto"/>
        <w:ind w:right="432"/>
        <w:rPr>
          <w:rFonts w:ascii="Montserrat" w:eastAsia="Calibri" w:hAnsi="Montserrat" w:cs="Calibri"/>
          <w:color w:val="4A9EFF"/>
          <w:sz w:val="44"/>
          <w:szCs w:val="54"/>
          <w:lang w:bidi="en-US"/>
        </w:rPr>
      </w:pPr>
      <w:r w:rsidRPr="00A95390">
        <w:rPr>
          <w:rFonts w:ascii="Montserrat" w:eastAsia="Calibri" w:hAnsi="Montserrat" w:cs="Calibri"/>
          <w:noProof/>
          <w:lang w:bidi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894559" wp14:editId="12363257">
                <wp:simplePos x="0" y="0"/>
                <wp:positionH relativeFrom="margin">
                  <wp:align>right</wp:align>
                </wp:positionH>
                <wp:positionV relativeFrom="paragraph">
                  <wp:posOffset>335915</wp:posOffset>
                </wp:positionV>
                <wp:extent cx="5918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64CE3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D4FA2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8pt,26.45pt" to="880.8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" strokecolor="#64ce3a" strokeweight="1.5pt">
                <v:stroke joinstyle="miter"/>
                <w10:wrap anchorx="margin"/>
              </v:line>
            </w:pict>
          </mc:Fallback>
        </mc:AlternateContent>
      </w:r>
    </w:p>
    <w:p w14:paraId="232C432B" w14:textId="77777777" w:rsidR="00171CC3" w:rsidRPr="00171CC3" w:rsidRDefault="00171CC3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Times New Roman"/>
          <w:color w:val="00AEDB"/>
          <w:sz w:val="24"/>
          <w:szCs w:val="24"/>
        </w:rPr>
      </w:pPr>
    </w:p>
    <w:p w14:paraId="74198E9A" w14:textId="77777777" w:rsidR="00171CC3" w:rsidRPr="00171CC3" w:rsidRDefault="00171CC3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 w:rsidRPr="00171CC3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Policy and Procedure </w:t>
      </w:r>
    </w:p>
    <w:p w14:paraId="13809CD0" w14:textId="41486DE0" w:rsidR="00171CC3" w:rsidRPr="00171CC3" w:rsidRDefault="00386736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Immune Globulin</w:t>
      </w:r>
    </w:p>
    <w:p w14:paraId="480C9C92" w14:textId="2AEDC7FF" w:rsidR="00171CC3" w:rsidRDefault="00171CC3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POLICY #</w:t>
      </w:r>
      <w:r w:rsidR="0033442B"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 </w:t>
      </w:r>
      <w:r w:rsidR="002650A2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UMST-13</w:t>
      </w:r>
    </w:p>
    <w:p w14:paraId="26DF720B" w14:textId="3A97F0F8" w:rsidR="00171CC3" w:rsidRPr="00171CC3" w:rsidRDefault="00171CC3" w:rsidP="00171CC3">
      <w:pPr>
        <w:widowControl w:val="0"/>
        <w:autoSpaceDE w:val="0"/>
        <w:autoSpaceDN w:val="0"/>
        <w:spacing w:after="0" w:line="240" w:lineRule="auto"/>
        <w:ind w:left="432" w:right="432"/>
        <w:jc w:val="center"/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</w:pPr>
      <w:r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Version: </w:t>
      </w:r>
      <w:r w:rsidR="00E15732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1</w:t>
      </w:r>
      <w:r w:rsidR="001A17A5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>.0</w:t>
      </w:r>
      <w:r w:rsidR="00C11B4C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 </w:t>
      </w:r>
      <w:r w:rsidR="0033442B" w:rsidRPr="005226EB">
        <w:rPr>
          <w:rFonts w:ascii="Futura" w:eastAsia="Calibri" w:hAnsi="Futura" w:cs="Calibri"/>
          <w:b/>
          <w:bCs/>
          <w:color w:val="00AEDB"/>
          <w:sz w:val="24"/>
          <w:szCs w:val="24"/>
          <w:lang w:bidi="en-US"/>
        </w:rPr>
        <w:t xml:space="preserve"> </w:t>
      </w:r>
    </w:p>
    <w:p w14:paraId="6526E423" w14:textId="77777777" w:rsidR="00171CC3" w:rsidRDefault="00171CC3" w:rsidP="00171CC3">
      <w:pPr>
        <w:widowControl w:val="0"/>
        <w:autoSpaceDE w:val="0"/>
        <w:autoSpaceDN w:val="0"/>
        <w:spacing w:line="240" w:lineRule="auto"/>
        <w:rPr>
          <w:rFonts w:ascii="Futura" w:eastAsia="Calibri" w:hAnsi="Futura" w:cs="Calibri"/>
          <w:color w:val="4A9EFF"/>
          <w:sz w:val="24"/>
          <w:szCs w:val="24"/>
          <w:lang w:bidi="en-US"/>
        </w:rPr>
      </w:pPr>
    </w:p>
    <w:p w14:paraId="712B0DD6" w14:textId="77777777" w:rsidR="00320403" w:rsidRDefault="00171CC3" w:rsidP="00320403">
      <w:pPr>
        <w:widowControl w:val="0"/>
        <w:autoSpaceDE w:val="0"/>
        <w:autoSpaceDN w:val="0"/>
        <w:spacing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 w:rsidRPr="00171CC3">
        <w:rPr>
          <w:rFonts w:ascii="Futura" w:eastAsia="Calibri" w:hAnsi="Futura" w:cs="Calibri"/>
          <w:noProof/>
          <w:sz w:val="24"/>
          <w:szCs w:val="24"/>
          <w:lang w:bidi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5E043" wp14:editId="61E94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9182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64CE3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1FDA4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5pt" to="46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" strokecolor="#64ce3a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15"/>
        <w:gridCol w:w="2880"/>
        <w:gridCol w:w="1890"/>
        <w:gridCol w:w="2945"/>
      </w:tblGrid>
      <w:tr w:rsidR="00320403" w14:paraId="0538398F" w14:textId="77777777" w:rsidTr="00320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BBECC85" w14:textId="77777777" w:rsidR="00320403" w:rsidRPr="00E15732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 w:rsidRPr="00E15732"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Binder:</w:t>
            </w:r>
          </w:p>
        </w:tc>
        <w:tc>
          <w:tcPr>
            <w:tcW w:w="28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22CD696" w14:textId="49213A95" w:rsidR="00320403" w:rsidRDefault="002650A2" w:rsidP="00CD77BC">
            <w:pPr>
              <w:widowControl w:val="0"/>
              <w:autoSpaceDE w:val="0"/>
              <w:autoSpaceDN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UM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D311E06" w14:textId="77777777" w:rsidR="00320403" w:rsidRDefault="00320403">
            <w:pPr>
              <w:widowControl w:val="0"/>
              <w:autoSpaceDE w:val="0"/>
              <w:autoSpaceDN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Department:</w:t>
            </w:r>
          </w:p>
        </w:tc>
        <w:tc>
          <w:tcPr>
            <w:tcW w:w="29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0598461" w14:textId="7076B979" w:rsidR="00320403" w:rsidRDefault="00D001B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Medical Management-UM</w:t>
            </w:r>
          </w:p>
        </w:tc>
      </w:tr>
      <w:tr w:rsidR="00320403" w14:paraId="5988EF9A" w14:textId="77777777" w:rsidTr="00320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904DEE4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Policy Contact:</w:t>
            </w:r>
          </w:p>
        </w:tc>
        <w:tc>
          <w:tcPr>
            <w:tcW w:w="28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AE7C508" w14:textId="0284024E" w:rsidR="00320403" w:rsidRDefault="002650A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VP Pharmacy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87E7C54" w14:textId="77777777" w:rsidR="00320403" w:rsidRDefault="00320403">
            <w:pPr>
              <w:widowControl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  <w:t>Effective Date:</w:t>
            </w:r>
          </w:p>
        </w:tc>
        <w:tc>
          <w:tcPr>
            <w:tcW w:w="29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77473BD" w14:textId="77424D0A" w:rsidR="00320403" w:rsidRDefault="00527B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1</w:t>
            </w:r>
            <w:r w:rsidR="00D001BF"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/1/2</w:t>
            </w: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6</w:t>
            </w:r>
          </w:p>
        </w:tc>
      </w:tr>
      <w:tr w:rsidR="00320403" w14:paraId="0E783544" w14:textId="77777777" w:rsidTr="00320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55CCDE5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Date Last Reviewed:</w:t>
            </w:r>
          </w:p>
        </w:tc>
        <w:tc>
          <w:tcPr>
            <w:tcW w:w="288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453BA10" w14:textId="4EAF7391" w:rsidR="00320403" w:rsidRDefault="00320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B15B2A2" w14:textId="77777777" w:rsidR="00320403" w:rsidRDefault="00320403">
            <w:pPr>
              <w:widowControl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0000"/>
                <w:sz w:val="20"/>
                <w:szCs w:val="20"/>
                <w:lang w:bidi="en-US"/>
              </w:rPr>
              <w:t>Date of Policy Committee Approval:</w:t>
            </w:r>
          </w:p>
        </w:tc>
        <w:tc>
          <w:tcPr>
            <w:tcW w:w="29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A72BAE2" w14:textId="0C145934" w:rsidR="00320403" w:rsidRPr="001A17A5" w:rsidRDefault="00320403" w:rsidP="001A17A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</w:p>
        </w:tc>
      </w:tr>
    </w:tbl>
    <w:p w14:paraId="34A017EB" w14:textId="77777777" w:rsidR="00320403" w:rsidRDefault="00320403" w:rsidP="00320403">
      <w:pPr>
        <w:widowControl w:val="0"/>
        <w:autoSpaceDE w:val="0"/>
        <w:autoSpaceDN w:val="0"/>
        <w:spacing w:line="240" w:lineRule="auto"/>
        <w:rPr>
          <w:rFonts w:ascii="Futura" w:eastAsia="Calibri" w:hAnsi="Futura" w:cs="Calibri"/>
          <w:b/>
          <w:bCs/>
          <w:color w:val="4A9EFF"/>
          <w:sz w:val="24"/>
          <w:szCs w:val="24"/>
          <w:lang w:bidi="en-US"/>
        </w:rPr>
      </w:pPr>
    </w:p>
    <w:tbl>
      <w:tblPr>
        <w:tblStyle w:val="TableGrid1"/>
        <w:tblW w:w="9345" w:type="dxa"/>
        <w:tblBorders>
          <w:top w:val="single" w:sz="12" w:space="0" w:color="A5A5A5"/>
          <w:left w:val="single" w:sz="12" w:space="0" w:color="A5A5A5"/>
          <w:bottom w:val="single" w:sz="12" w:space="0" w:color="A5A5A5"/>
          <w:right w:val="single" w:sz="12" w:space="0" w:color="A5A5A5"/>
          <w:insideH w:val="single" w:sz="12" w:space="0" w:color="A5A5A5"/>
          <w:insideV w:val="single" w:sz="12" w:space="0" w:color="A5A5A5"/>
        </w:tblBorders>
        <w:tblLook w:val="04A0" w:firstRow="1" w:lastRow="0" w:firstColumn="1" w:lastColumn="0" w:noHBand="0" w:noVBand="1"/>
      </w:tblPr>
      <w:tblGrid>
        <w:gridCol w:w="1546"/>
        <w:gridCol w:w="2510"/>
        <w:gridCol w:w="1880"/>
        <w:gridCol w:w="3409"/>
      </w:tblGrid>
      <w:tr w:rsidR="00320403" w14:paraId="47A77D58" w14:textId="77777777" w:rsidTr="00320403">
        <w:tc>
          <w:tcPr>
            <w:tcW w:w="9345" w:type="dxa"/>
            <w:gridSpan w:val="4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7CC25E45" w14:textId="77777777" w:rsidR="00320403" w:rsidRDefault="00320403">
            <w:pPr>
              <w:widowControl w:val="0"/>
              <w:autoSpaceDE w:val="0"/>
              <w:autoSpaceDN w:val="0"/>
              <w:jc w:val="center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Revision/Approval History</w:t>
            </w:r>
          </w:p>
        </w:tc>
      </w:tr>
      <w:tr w:rsidR="00320403" w14:paraId="02459072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7F80719B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Date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7D9342F0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Name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157BE64E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Title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hideMark/>
          </w:tcPr>
          <w:p w14:paraId="4D3EEE37" w14:textId="77777777" w:rsidR="00320403" w:rsidRDefault="0032040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b/>
                <w:bCs/>
                <w:color w:val="00AEDB"/>
                <w:sz w:val="20"/>
                <w:szCs w:val="20"/>
                <w:lang w:bidi="en-US"/>
              </w:rPr>
              <w:t>Description</w:t>
            </w:r>
          </w:p>
        </w:tc>
      </w:tr>
      <w:tr w:rsidR="00320403" w14:paraId="67145A51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41C31E6F" w14:textId="39691E14" w:rsidR="00320403" w:rsidRDefault="002650A2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2/18/25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75736AEE" w14:textId="40E4F33F" w:rsidR="00320403" w:rsidRDefault="00E768B3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 xml:space="preserve">Policy &amp; Procedure Committee 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67DA1ECD" w14:textId="32B60E48" w:rsidR="00320403" w:rsidRDefault="002650A2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Submission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35DC7F81" w14:textId="45489438" w:rsidR="00320403" w:rsidRDefault="00CB5E28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 xml:space="preserve">New policy. </w:t>
            </w:r>
          </w:p>
        </w:tc>
      </w:tr>
      <w:tr w:rsidR="00320403" w14:paraId="7973D708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12D9C931" w14:textId="23C1CD4C" w:rsidR="00320403" w:rsidRDefault="002650A2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2/18/25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480828A1" w14:textId="63F4ECAC" w:rsidR="00320403" w:rsidRDefault="002650A2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UM Committee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7C0B7B6E" w14:textId="23A69F9B" w:rsidR="00320403" w:rsidRDefault="002650A2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Submission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5F8B2E15" w14:textId="2932A281" w:rsidR="00320403" w:rsidRDefault="002650A2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New policy</w:t>
            </w:r>
          </w:p>
        </w:tc>
      </w:tr>
      <w:tr w:rsidR="00527B18" w14:paraId="778204B4" w14:textId="77777777" w:rsidTr="00320403">
        <w:tc>
          <w:tcPr>
            <w:tcW w:w="1546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48096860" w14:textId="56C4831D" w:rsidR="00527B18" w:rsidRDefault="00527B18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8/4/25</w:t>
            </w:r>
          </w:p>
        </w:tc>
        <w:tc>
          <w:tcPr>
            <w:tcW w:w="251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2BF6083D" w14:textId="618EC369" w:rsidR="00527B18" w:rsidRDefault="00527B18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UM Committee</w:t>
            </w:r>
          </w:p>
        </w:tc>
        <w:tc>
          <w:tcPr>
            <w:tcW w:w="18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18A6CC14" w14:textId="6275EF4C" w:rsidR="00527B18" w:rsidRDefault="00527B18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  <w:r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  <w:t>Review</w:t>
            </w:r>
          </w:p>
        </w:tc>
        <w:tc>
          <w:tcPr>
            <w:tcW w:w="3409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</w:tcPr>
          <w:p w14:paraId="51EFCC6B" w14:textId="77777777" w:rsidR="00527B18" w:rsidRDefault="00527B18">
            <w:pPr>
              <w:widowControl w:val="0"/>
              <w:autoSpaceDE w:val="0"/>
              <w:autoSpaceDN w:val="0"/>
              <w:rPr>
                <w:rFonts w:ascii="Futura" w:eastAsia="Calibri" w:hAnsi="Futura" w:cs="Calibri"/>
                <w:color w:val="000000"/>
                <w:sz w:val="20"/>
                <w:szCs w:val="20"/>
                <w:lang w:bidi="en-US"/>
              </w:rPr>
            </w:pPr>
          </w:p>
        </w:tc>
      </w:tr>
    </w:tbl>
    <w:p w14:paraId="67C7852D" w14:textId="77777777" w:rsidR="00320403" w:rsidRDefault="00320403" w:rsidP="00320403">
      <w:pPr>
        <w:spacing w:after="0" w:line="240" w:lineRule="auto"/>
        <w:jc w:val="center"/>
        <w:rPr>
          <w:rFonts w:ascii="Futura" w:hAnsi="Futura"/>
          <w:color w:val="00AEDB"/>
          <w:sz w:val="24"/>
          <w:szCs w:val="24"/>
        </w:rPr>
      </w:pPr>
    </w:p>
    <w:p w14:paraId="6C4CF2DA" w14:textId="77777777" w:rsidR="00320403" w:rsidRDefault="00320403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Policy:</w:t>
      </w:r>
    </w:p>
    <w:p w14:paraId="2ECE6697" w14:textId="164DFCC8" w:rsidR="00B60BDE" w:rsidRDefault="00B60BDE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3E7F185" w14:textId="27DFBAF3" w:rsidR="00581FB0" w:rsidRDefault="004F5EE3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This policy stands to show the criteria for and preferencing of</w:t>
      </w:r>
      <w:r w:rsidR="00827A7B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agents within the therapeutic class of </w:t>
      </w:r>
      <w:r w:rsidR="009B41EC">
        <w:rPr>
          <w:rFonts w:ascii="Futura" w:eastAsia="Calibri" w:hAnsi="Futura" w:cs="Calibri"/>
          <w:color w:val="000000"/>
          <w:sz w:val="20"/>
          <w:szCs w:val="20"/>
          <w:lang w:bidi="en-US"/>
        </w:rPr>
        <w:t>Immune Globulins</w:t>
      </w:r>
      <w:r w:rsidR="003A2608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, and policy for treatment of </w:t>
      </w:r>
      <w:r w:rsidR="00594068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both </w:t>
      </w:r>
      <w:r w:rsidR="009B41EC">
        <w:rPr>
          <w:rFonts w:ascii="Futura" w:eastAsia="Calibri" w:hAnsi="Futura" w:cs="Calibri"/>
          <w:color w:val="000000"/>
          <w:sz w:val="20"/>
          <w:szCs w:val="20"/>
          <w:lang w:bidi="en-US"/>
        </w:rPr>
        <w:t>Intravenously and Subcutaneously</w:t>
      </w:r>
      <w:r w:rsidR="00827A7B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.  At the time of creation of this policy, there are </w:t>
      </w:r>
      <w:r w:rsidR="00A339FC">
        <w:rPr>
          <w:rFonts w:ascii="Futura" w:eastAsia="Calibri" w:hAnsi="Futura" w:cs="Calibri"/>
          <w:color w:val="000000"/>
          <w:sz w:val="20"/>
          <w:szCs w:val="20"/>
          <w:lang w:bidi="en-US"/>
        </w:rPr>
        <w:t>thirteen IV</w:t>
      </w:r>
      <w:r w:rsidR="004B7D6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agents to be reviewed:</w:t>
      </w:r>
      <w:r w:rsidR="00A339FC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Gammaked, Gamunex-C, Octagam, </w:t>
      </w:r>
      <w:r w:rsidR="00DA3787">
        <w:rPr>
          <w:rFonts w:ascii="Futura" w:eastAsia="Calibri" w:hAnsi="Futura" w:cs="Calibri"/>
          <w:color w:val="000000"/>
          <w:sz w:val="20"/>
          <w:szCs w:val="20"/>
          <w:lang w:bidi="en-US"/>
        </w:rPr>
        <w:t>Privigen, Alyglo, Asceniv, Bivigam, Flebbogamma, Gammagard, Gammagard S/D, Gammaplex, Panzyga, and Yimmugo</w:t>
      </w:r>
      <w:r w:rsidR="009861C2">
        <w:rPr>
          <w:rFonts w:ascii="Futura" w:eastAsia="Calibri" w:hAnsi="Futura" w:cs="Calibri"/>
          <w:color w:val="000000"/>
          <w:sz w:val="20"/>
          <w:szCs w:val="20"/>
          <w:lang w:bidi="en-US"/>
        </w:rPr>
        <w:t>.</w:t>
      </w:r>
      <w:r w:rsidR="00DA3787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 There are </w:t>
      </w:r>
      <w:r w:rsidR="0001616D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eight SC agents to be reviewed: Gammaked, Gamunex-C, Hizentra, Xembify, Cutaquig, </w:t>
      </w:r>
      <w:r w:rsidR="00445A62">
        <w:rPr>
          <w:rFonts w:ascii="Futura" w:eastAsia="Calibri" w:hAnsi="Futura" w:cs="Calibri"/>
          <w:color w:val="000000"/>
          <w:sz w:val="20"/>
          <w:szCs w:val="20"/>
          <w:lang w:bidi="en-US"/>
        </w:rPr>
        <w:t>HyQvia, and Gammagard Liquid.</w:t>
      </w:r>
      <w:r w:rsidR="009861C2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 </w:t>
      </w:r>
      <w:r w:rsidR="004807F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The </w:t>
      </w:r>
      <w:r w:rsidR="00C71E7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review includes review of product package inserts for </w:t>
      </w:r>
      <w:r w:rsidR="00222323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FDA approved </w:t>
      </w:r>
      <w:r w:rsidR="00C71E7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indications and limitations, ASP pricing files updated quarterly, </w:t>
      </w:r>
      <w:r w:rsidR="00BB3294">
        <w:rPr>
          <w:rFonts w:ascii="Futura" w:eastAsia="Calibri" w:hAnsi="Futura" w:cs="Calibri"/>
          <w:color w:val="000000"/>
          <w:sz w:val="20"/>
          <w:szCs w:val="20"/>
          <w:lang w:bidi="en-US"/>
        </w:rPr>
        <w:t>any external evidence available through CMS approved compendia, NCD/LCD information</w:t>
      </w:r>
      <w:r w:rsidR="0029343B">
        <w:rPr>
          <w:rFonts w:ascii="Futura" w:eastAsia="Calibri" w:hAnsi="Futura" w:cs="Calibri"/>
          <w:color w:val="000000"/>
          <w:sz w:val="20"/>
          <w:szCs w:val="20"/>
          <w:lang w:bidi="en-US"/>
        </w:rPr>
        <w:t>, and the approved system used for clinical direction of the Utilization Management team</w:t>
      </w:r>
      <w:r w:rsidR="00006F2B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for agents on the eternalHealth Medicare Part B Prior Auth list</w:t>
      </w:r>
      <w:r w:rsidR="00BB3294">
        <w:rPr>
          <w:rFonts w:ascii="Futura" w:eastAsia="Calibri" w:hAnsi="Futura" w:cs="Calibri"/>
          <w:color w:val="000000"/>
          <w:sz w:val="20"/>
          <w:szCs w:val="20"/>
          <w:lang w:bidi="en-US"/>
        </w:rPr>
        <w:t>.  T</w:t>
      </w:r>
      <w:r w:rsidR="00A85AC1">
        <w:rPr>
          <w:rFonts w:ascii="Futura" w:eastAsia="Calibri" w:hAnsi="Futura" w:cs="Calibri"/>
          <w:color w:val="000000"/>
          <w:sz w:val="20"/>
          <w:szCs w:val="20"/>
          <w:lang w:bidi="en-US"/>
        </w:rPr>
        <w:t>his information combined with a wholistic review of the members’ clinical profile will allow the eternalHealth team to arrive at a decision of clinical appropriateness and is not a guarantee of payment.</w:t>
      </w:r>
      <w:r w:rsidR="00D36B7E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</w:t>
      </w:r>
    </w:p>
    <w:p w14:paraId="7962C7E4" w14:textId="77777777" w:rsidR="00581FB0" w:rsidRDefault="00581FB0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3C26CCED" w14:textId="77777777" w:rsidR="00342E4B" w:rsidRDefault="00342E4B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3BA5C93E" w14:textId="77777777" w:rsidR="00342E4B" w:rsidRDefault="00342E4B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69D78B71" w14:textId="77777777" w:rsidR="00342E4B" w:rsidRDefault="00342E4B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55A2186D" w14:textId="77777777" w:rsidR="00342E4B" w:rsidRDefault="00342E4B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907CCDD" w14:textId="77777777" w:rsidR="00342E4B" w:rsidRDefault="00342E4B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65D21506" w14:textId="77777777" w:rsidR="00342E4B" w:rsidRDefault="00342E4B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35804F1F" w14:textId="77777777" w:rsidR="00342E4B" w:rsidRDefault="00342E4B" w:rsidP="00554794">
      <w:p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</w:p>
    <w:p w14:paraId="141D1BDC" w14:textId="77777777" w:rsidR="002C1C7A" w:rsidRDefault="002C1C7A" w:rsidP="002C1C7A">
      <w:p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Summary:</w:t>
      </w:r>
    </w:p>
    <w:p w14:paraId="3BC276E0" w14:textId="77777777" w:rsidR="002C1C7A" w:rsidRDefault="002C1C7A" w:rsidP="002C1C7A">
      <w:pPr>
        <w:pStyle w:val="ListParagraph"/>
        <w:numPr>
          <w:ilvl w:val="0"/>
          <w:numId w:val="194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All agents will require a prior authorization for medical necessity review</w:t>
      </w:r>
    </w:p>
    <w:p w14:paraId="2E5752CE" w14:textId="03ACC62C" w:rsidR="002C1C7A" w:rsidRDefault="002C1C7A" w:rsidP="002C1C7A">
      <w:pPr>
        <w:pStyle w:val="ListParagraph"/>
        <w:numPr>
          <w:ilvl w:val="1"/>
          <w:numId w:val="194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 w:rsidRPr="00797C79">
        <w:rPr>
          <w:rFonts w:ascii="Futura" w:hAnsi="Futura"/>
          <w:b/>
          <w:bCs/>
          <w:color w:val="00AEDB"/>
          <w:sz w:val="24"/>
          <w:szCs w:val="24"/>
        </w:rPr>
        <w:t xml:space="preserve">For </w:t>
      </w:r>
      <w:r w:rsidR="0026429A">
        <w:rPr>
          <w:rFonts w:ascii="Futura" w:hAnsi="Futura"/>
          <w:b/>
          <w:bCs/>
          <w:color w:val="00AEDB"/>
          <w:sz w:val="24"/>
          <w:szCs w:val="24"/>
        </w:rPr>
        <w:t>intravenous</w:t>
      </w:r>
      <w:r w:rsidRPr="00797C79">
        <w:rPr>
          <w:rFonts w:ascii="Futura" w:hAnsi="Futura"/>
          <w:b/>
          <w:bCs/>
          <w:color w:val="00AEDB"/>
          <w:sz w:val="24"/>
          <w:szCs w:val="24"/>
        </w:rPr>
        <w:t xml:space="preserve"> agents:</w:t>
      </w:r>
    </w:p>
    <w:p w14:paraId="67108419" w14:textId="3E88FAE5" w:rsidR="002C1C7A" w:rsidRDefault="002C1C7A" w:rsidP="002C1C7A">
      <w:pPr>
        <w:pStyle w:val="ListParagraph"/>
        <w:numPr>
          <w:ilvl w:val="2"/>
          <w:numId w:val="193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 xml:space="preserve">If </w:t>
      </w:r>
      <w:r w:rsidR="001629C5">
        <w:rPr>
          <w:rFonts w:ascii="Futura" w:hAnsi="Futura"/>
          <w:b/>
          <w:bCs/>
          <w:color w:val="00AEDB"/>
          <w:sz w:val="24"/>
          <w:szCs w:val="24"/>
        </w:rPr>
        <w:t>G</w:t>
      </w:r>
      <w:r w:rsidR="00A93B43">
        <w:rPr>
          <w:rFonts w:ascii="Futura" w:hAnsi="Futura"/>
          <w:b/>
          <w:bCs/>
          <w:color w:val="00AEDB"/>
          <w:sz w:val="24"/>
          <w:szCs w:val="24"/>
        </w:rPr>
        <w:t>ammaked, Gamunex-C, Octagam, or Privigen</w:t>
      </w:r>
      <w:r w:rsidRPr="00857328">
        <w:rPr>
          <w:rFonts w:ascii="Futura" w:hAnsi="Futura"/>
          <w:b/>
          <w:bCs/>
          <w:color w:val="00AEDB"/>
          <w:sz w:val="24"/>
          <w:szCs w:val="24"/>
        </w:rPr>
        <w:t xml:space="preserve"> is requested, it requires prior authorization for medical necessity review </w:t>
      </w:r>
      <w:r>
        <w:rPr>
          <w:rFonts w:ascii="Futura" w:hAnsi="Futura"/>
          <w:b/>
          <w:bCs/>
          <w:color w:val="00AEDB"/>
          <w:sz w:val="24"/>
          <w:szCs w:val="24"/>
        </w:rPr>
        <w:t>and may be approved</w:t>
      </w:r>
    </w:p>
    <w:p w14:paraId="7FA8960F" w14:textId="0F7B03B7" w:rsidR="002C1C7A" w:rsidRDefault="002C1C7A" w:rsidP="002C1C7A">
      <w:pPr>
        <w:pStyle w:val="ListParagraph"/>
        <w:numPr>
          <w:ilvl w:val="2"/>
          <w:numId w:val="193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 xml:space="preserve">If </w:t>
      </w:r>
      <w:r w:rsidR="00D46C20">
        <w:rPr>
          <w:rFonts w:ascii="Futura" w:hAnsi="Futura"/>
          <w:b/>
          <w:bCs/>
          <w:color w:val="00AEDB"/>
          <w:sz w:val="24"/>
          <w:szCs w:val="24"/>
        </w:rPr>
        <w:t>Alyglo, Asceniv</w:t>
      </w:r>
      <w:r>
        <w:rPr>
          <w:rFonts w:ascii="Futura" w:hAnsi="Futura"/>
          <w:b/>
          <w:bCs/>
          <w:color w:val="00AEDB"/>
          <w:sz w:val="24"/>
          <w:szCs w:val="24"/>
        </w:rPr>
        <w:t xml:space="preserve">, </w:t>
      </w:r>
      <w:r w:rsidR="00E73FD2">
        <w:rPr>
          <w:rFonts w:ascii="Futura" w:hAnsi="Futura"/>
          <w:b/>
          <w:bCs/>
          <w:color w:val="00AEDB"/>
          <w:sz w:val="24"/>
          <w:szCs w:val="24"/>
        </w:rPr>
        <w:t xml:space="preserve">Bivigam, Flebogamma, Gammagard, Gammagard S/D, Gammaplex, Panzyga, </w:t>
      </w:r>
      <w:r>
        <w:rPr>
          <w:rFonts w:ascii="Futura" w:hAnsi="Futura"/>
          <w:b/>
          <w:bCs/>
          <w:color w:val="00AEDB"/>
          <w:sz w:val="24"/>
          <w:szCs w:val="24"/>
        </w:rPr>
        <w:t xml:space="preserve">or </w:t>
      </w:r>
      <w:r w:rsidR="00E73FD2">
        <w:rPr>
          <w:rFonts w:ascii="Futura" w:hAnsi="Futura"/>
          <w:b/>
          <w:bCs/>
          <w:color w:val="00AEDB"/>
          <w:sz w:val="24"/>
          <w:szCs w:val="24"/>
        </w:rPr>
        <w:t>Yimmugo</w:t>
      </w:r>
      <w:r>
        <w:rPr>
          <w:rFonts w:ascii="Futura" w:hAnsi="Futura"/>
          <w:b/>
          <w:bCs/>
          <w:color w:val="00AEDB"/>
          <w:sz w:val="24"/>
          <w:szCs w:val="24"/>
        </w:rPr>
        <w:t xml:space="preserve"> is </w:t>
      </w:r>
      <w:r w:rsidR="001E1F03">
        <w:rPr>
          <w:rFonts w:ascii="Futura" w:hAnsi="Futura"/>
          <w:b/>
          <w:bCs/>
          <w:color w:val="00AEDB"/>
          <w:sz w:val="24"/>
          <w:szCs w:val="24"/>
        </w:rPr>
        <w:t>requested,</w:t>
      </w:r>
      <w:r>
        <w:rPr>
          <w:rFonts w:ascii="Futura" w:hAnsi="Futura"/>
          <w:b/>
          <w:bCs/>
          <w:color w:val="00AEDB"/>
          <w:sz w:val="24"/>
          <w:szCs w:val="24"/>
        </w:rPr>
        <w:t xml:space="preserve"> it requires prior authorization for medical necessity review as well as documentation of use of and lack of clinical response to </w:t>
      </w:r>
      <w:r w:rsidR="004D3C4D">
        <w:rPr>
          <w:rFonts w:ascii="Futura" w:hAnsi="Futura"/>
          <w:b/>
          <w:bCs/>
          <w:color w:val="00AEDB"/>
          <w:sz w:val="24"/>
          <w:szCs w:val="24"/>
        </w:rPr>
        <w:t>Gammaked, Gamunex-C, Octagam, or Privigen</w:t>
      </w:r>
      <w:r>
        <w:rPr>
          <w:rFonts w:ascii="Futura" w:hAnsi="Futura"/>
          <w:b/>
          <w:bCs/>
          <w:color w:val="00AEDB"/>
          <w:sz w:val="24"/>
          <w:szCs w:val="24"/>
        </w:rPr>
        <w:t xml:space="preserve"> and may be approved</w:t>
      </w:r>
    </w:p>
    <w:p w14:paraId="0191BBA2" w14:textId="5FBFC254" w:rsidR="002C1C7A" w:rsidRDefault="002C1C7A" w:rsidP="002C1C7A">
      <w:pPr>
        <w:pStyle w:val="ListParagraph"/>
        <w:numPr>
          <w:ilvl w:val="1"/>
          <w:numId w:val="194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 w:rsidRPr="00797C79">
        <w:rPr>
          <w:rFonts w:ascii="Futura" w:hAnsi="Futura"/>
          <w:b/>
          <w:bCs/>
          <w:color w:val="00AEDB"/>
          <w:sz w:val="24"/>
          <w:szCs w:val="24"/>
        </w:rPr>
        <w:t xml:space="preserve">For </w:t>
      </w:r>
      <w:r w:rsidR="001629C5">
        <w:rPr>
          <w:rFonts w:ascii="Futura" w:hAnsi="Futura"/>
          <w:b/>
          <w:bCs/>
          <w:color w:val="00AEDB"/>
          <w:sz w:val="24"/>
          <w:szCs w:val="24"/>
        </w:rPr>
        <w:t>subcutaneous</w:t>
      </w:r>
      <w:r w:rsidRPr="00797C79">
        <w:rPr>
          <w:rFonts w:ascii="Futura" w:hAnsi="Futura"/>
          <w:b/>
          <w:bCs/>
          <w:color w:val="00AEDB"/>
          <w:sz w:val="24"/>
          <w:szCs w:val="24"/>
        </w:rPr>
        <w:t xml:space="preserve"> agents:</w:t>
      </w:r>
    </w:p>
    <w:p w14:paraId="4ED7E4D5" w14:textId="0A9EF016" w:rsidR="002C1C7A" w:rsidRDefault="002C1C7A" w:rsidP="002C1C7A">
      <w:pPr>
        <w:pStyle w:val="ListParagraph"/>
        <w:numPr>
          <w:ilvl w:val="2"/>
          <w:numId w:val="193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 xml:space="preserve">If </w:t>
      </w:r>
      <w:r w:rsidR="003D1C2B">
        <w:rPr>
          <w:rFonts w:ascii="Futura" w:hAnsi="Futura"/>
          <w:b/>
          <w:bCs/>
          <w:color w:val="00AEDB"/>
          <w:sz w:val="24"/>
          <w:szCs w:val="24"/>
        </w:rPr>
        <w:t>Gammaked, Gam</w:t>
      </w:r>
      <w:r w:rsidR="0053503F">
        <w:rPr>
          <w:rFonts w:ascii="Futura" w:hAnsi="Futura"/>
          <w:b/>
          <w:bCs/>
          <w:color w:val="00AEDB"/>
          <w:sz w:val="24"/>
          <w:szCs w:val="24"/>
        </w:rPr>
        <w:t>un</w:t>
      </w:r>
      <w:r w:rsidR="003D1C2B">
        <w:rPr>
          <w:rFonts w:ascii="Futura" w:hAnsi="Futura"/>
          <w:b/>
          <w:bCs/>
          <w:color w:val="00AEDB"/>
          <w:sz w:val="24"/>
          <w:szCs w:val="24"/>
        </w:rPr>
        <w:t>ex-C, Hizentra, or Xembify</w:t>
      </w:r>
      <w:r w:rsidRPr="00857328">
        <w:rPr>
          <w:rFonts w:ascii="Futura" w:hAnsi="Futura"/>
          <w:b/>
          <w:bCs/>
          <w:color w:val="00AEDB"/>
          <w:sz w:val="24"/>
          <w:szCs w:val="24"/>
        </w:rPr>
        <w:t xml:space="preserve"> is requested, it requires prior authorization for medical necessity review </w:t>
      </w:r>
      <w:r>
        <w:rPr>
          <w:rFonts w:ascii="Futura" w:hAnsi="Futura"/>
          <w:b/>
          <w:bCs/>
          <w:color w:val="00AEDB"/>
          <w:sz w:val="24"/>
          <w:szCs w:val="24"/>
        </w:rPr>
        <w:t>and may be approved</w:t>
      </w:r>
    </w:p>
    <w:p w14:paraId="4B7294F3" w14:textId="20278886" w:rsidR="002C1C7A" w:rsidRDefault="002C1C7A" w:rsidP="002C1C7A">
      <w:pPr>
        <w:pStyle w:val="ListParagraph"/>
        <w:numPr>
          <w:ilvl w:val="2"/>
          <w:numId w:val="193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 xml:space="preserve">If </w:t>
      </w:r>
      <w:r w:rsidR="003D1C2B">
        <w:rPr>
          <w:rFonts w:ascii="Futura" w:hAnsi="Futura"/>
          <w:b/>
          <w:bCs/>
          <w:color w:val="00AEDB"/>
          <w:sz w:val="24"/>
          <w:szCs w:val="24"/>
        </w:rPr>
        <w:t>Cutaquig, Cuvitru, Gammagard Liquid</w:t>
      </w:r>
      <w:r>
        <w:rPr>
          <w:rFonts w:ascii="Futura" w:hAnsi="Futura"/>
          <w:b/>
          <w:bCs/>
          <w:color w:val="00AEDB"/>
          <w:sz w:val="24"/>
          <w:szCs w:val="24"/>
        </w:rPr>
        <w:t xml:space="preserve">, or </w:t>
      </w:r>
      <w:r w:rsidR="0053503F">
        <w:rPr>
          <w:rFonts w:ascii="Futura" w:hAnsi="Futura"/>
          <w:b/>
          <w:bCs/>
          <w:color w:val="00AEDB"/>
          <w:sz w:val="24"/>
          <w:szCs w:val="24"/>
        </w:rPr>
        <w:t>HyQvia</w:t>
      </w:r>
      <w:r>
        <w:rPr>
          <w:rFonts w:ascii="Futura" w:hAnsi="Futura"/>
          <w:b/>
          <w:bCs/>
          <w:color w:val="00AEDB"/>
          <w:sz w:val="24"/>
          <w:szCs w:val="24"/>
        </w:rPr>
        <w:t xml:space="preserve"> is requested it requires prior authorization for medical necessity review as well as documentation of use of and lack of clinical response to </w:t>
      </w:r>
      <w:r w:rsidR="003D1C2B">
        <w:rPr>
          <w:rFonts w:ascii="Futura" w:hAnsi="Futura"/>
          <w:b/>
          <w:bCs/>
          <w:color w:val="00AEDB"/>
          <w:sz w:val="24"/>
          <w:szCs w:val="24"/>
        </w:rPr>
        <w:t>Gammaked, Gamu</w:t>
      </w:r>
      <w:r w:rsidR="0053503F">
        <w:rPr>
          <w:rFonts w:ascii="Futura" w:hAnsi="Futura"/>
          <w:b/>
          <w:bCs/>
          <w:color w:val="00AEDB"/>
          <w:sz w:val="24"/>
          <w:szCs w:val="24"/>
        </w:rPr>
        <w:t>n</w:t>
      </w:r>
      <w:r w:rsidR="003D1C2B">
        <w:rPr>
          <w:rFonts w:ascii="Futura" w:hAnsi="Futura"/>
          <w:b/>
          <w:bCs/>
          <w:color w:val="00AEDB"/>
          <w:sz w:val="24"/>
          <w:szCs w:val="24"/>
        </w:rPr>
        <w:t>ex-C, Hizentra, or Xembify</w:t>
      </w:r>
      <w:r>
        <w:rPr>
          <w:rFonts w:ascii="Futura" w:hAnsi="Futura"/>
          <w:b/>
          <w:bCs/>
          <w:color w:val="00AEDB"/>
          <w:sz w:val="24"/>
          <w:szCs w:val="24"/>
        </w:rPr>
        <w:t xml:space="preserve"> and may be approved</w:t>
      </w:r>
    </w:p>
    <w:p w14:paraId="05C8FDDB" w14:textId="77777777" w:rsidR="002C1C7A" w:rsidRDefault="002C1C7A" w:rsidP="002C1C7A">
      <w:pPr>
        <w:pStyle w:val="ListParagraph"/>
        <w:numPr>
          <w:ilvl w:val="0"/>
          <w:numId w:val="193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An exception to step therapy will be considered if:</w:t>
      </w:r>
    </w:p>
    <w:p w14:paraId="0ABF6A4B" w14:textId="77777777" w:rsidR="002C1C7A" w:rsidRPr="00732065" w:rsidRDefault="002C1C7A" w:rsidP="002C1C7A">
      <w:pPr>
        <w:pStyle w:val="ListParagraph"/>
        <w:numPr>
          <w:ilvl w:val="1"/>
          <w:numId w:val="193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 xml:space="preserve">There is specific </w:t>
      </w:r>
      <w:r w:rsidRPr="00732065">
        <w:rPr>
          <w:rFonts w:ascii="Futura" w:hAnsi="Futura"/>
          <w:b/>
          <w:bCs/>
          <w:color w:val="00AEDB"/>
          <w:sz w:val="24"/>
          <w:szCs w:val="24"/>
        </w:rPr>
        <w:t xml:space="preserve">documentation of inadequate response, contraindication, adverse event or otherwise </w:t>
      </w:r>
      <w:r>
        <w:rPr>
          <w:rFonts w:ascii="Futura" w:hAnsi="Futura"/>
          <w:b/>
          <w:bCs/>
          <w:color w:val="00AEDB"/>
          <w:sz w:val="24"/>
          <w:szCs w:val="24"/>
        </w:rPr>
        <w:t>d</w:t>
      </w:r>
      <w:r w:rsidRPr="00732065">
        <w:rPr>
          <w:rFonts w:ascii="Futura" w:hAnsi="Futura"/>
          <w:b/>
          <w:bCs/>
          <w:color w:val="00AEDB"/>
          <w:sz w:val="24"/>
          <w:szCs w:val="24"/>
        </w:rPr>
        <w:t>emonstrated for a preferred agent if requesting a secondary agent, and for preferred and secondary agents if requesting a tertiary agent.</w:t>
      </w:r>
    </w:p>
    <w:p w14:paraId="6C5D6768" w14:textId="43205A2E" w:rsidR="002C1C7A" w:rsidRPr="00732065" w:rsidRDefault="002C1C7A" w:rsidP="002C1C7A">
      <w:pPr>
        <w:pStyle w:val="ListParagraph"/>
        <w:numPr>
          <w:ilvl w:val="1"/>
          <w:numId w:val="193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Request contains</w:t>
      </w:r>
      <w:r w:rsidRPr="00732065">
        <w:rPr>
          <w:rFonts w:ascii="Futura" w:hAnsi="Futura"/>
          <w:b/>
          <w:bCs/>
          <w:color w:val="00AEDB"/>
          <w:sz w:val="24"/>
          <w:szCs w:val="24"/>
        </w:rPr>
        <w:t xml:space="preserve"> documentation of a continuation of therapy within the past </w:t>
      </w:r>
      <w:r w:rsidR="00BE653B">
        <w:rPr>
          <w:rFonts w:ascii="Futura" w:hAnsi="Futura"/>
          <w:b/>
          <w:bCs/>
          <w:color w:val="00AEDB"/>
          <w:sz w:val="24"/>
          <w:szCs w:val="24"/>
        </w:rPr>
        <w:t>365</w:t>
      </w:r>
      <w:r w:rsidRPr="00732065">
        <w:rPr>
          <w:rFonts w:ascii="Futura" w:hAnsi="Futura"/>
          <w:b/>
          <w:bCs/>
          <w:color w:val="00AEDB"/>
          <w:sz w:val="24"/>
          <w:szCs w:val="24"/>
        </w:rPr>
        <w:t xml:space="preserve"> days (if new) or if it is a reauthorization request.</w:t>
      </w:r>
    </w:p>
    <w:p w14:paraId="5654E868" w14:textId="77777777" w:rsidR="002C1C7A" w:rsidRPr="00732065" w:rsidRDefault="002C1C7A" w:rsidP="002C1C7A">
      <w:pPr>
        <w:pStyle w:val="ListParagraph"/>
        <w:numPr>
          <w:ilvl w:val="0"/>
          <w:numId w:val="193"/>
        </w:num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 w:rsidRPr="00732065">
        <w:rPr>
          <w:rFonts w:ascii="Futura" w:hAnsi="Futura"/>
          <w:b/>
          <w:bCs/>
          <w:color w:val="00AEDB"/>
          <w:sz w:val="24"/>
          <w:szCs w:val="24"/>
        </w:rPr>
        <w:t>In either of the above situations, the product being used cannot be based on the use of samples or products provided through manufacturer patient assistance programs.</w:t>
      </w:r>
    </w:p>
    <w:p w14:paraId="329C8C0E" w14:textId="77777777" w:rsidR="00342E4B" w:rsidRDefault="00342E4B" w:rsidP="00554794">
      <w:p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</w:p>
    <w:p w14:paraId="4D085817" w14:textId="1668193A" w:rsidR="00E42974" w:rsidRPr="0018204C" w:rsidRDefault="00E42974" w:rsidP="00554794">
      <w:pPr>
        <w:spacing w:after="0" w:line="240" w:lineRule="auto"/>
        <w:jc w:val="both"/>
        <w:rPr>
          <w:rFonts w:ascii="Futura" w:hAnsi="Futura"/>
          <w:b/>
          <w:bCs/>
          <w:color w:val="00AEDB"/>
          <w:sz w:val="24"/>
          <w:szCs w:val="24"/>
        </w:rPr>
      </w:pPr>
      <w:r w:rsidRPr="0018204C">
        <w:rPr>
          <w:rFonts w:ascii="Futura" w:hAnsi="Futura"/>
          <w:b/>
          <w:bCs/>
          <w:color w:val="00AEDB"/>
          <w:sz w:val="24"/>
          <w:szCs w:val="24"/>
        </w:rPr>
        <w:t>Exclusions:</w:t>
      </w:r>
    </w:p>
    <w:p w14:paraId="121B4A0C" w14:textId="30BA3CFC" w:rsidR="0018204C" w:rsidRDefault="004B7D0A" w:rsidP="00F41B3A">
      <w:pPr>
        <w:numPr>
          <w:ilvl w:val="0"/>
          <w:numId w:val="2"/>
        </w:numPr>
        <w:spacing w:after="0" w:line="240" w:lineRule="auto"/>
        <w:jc w:val="both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Requests for indications not FDA approved or supported by documentation of compendial acceptance provided by the requesting provider</w:t>
      </w:r>
    </w:p>
    <w:p w14:paraId="05598761" w14:textId="77777777" w:rsidR="00185052" w:rsidRDefault="00185052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15BDFBEC" w14:textId="7A5289E1" w:rsidR="00255C58" w:rsidRDefault="00386736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Intravenous</w:t>
      </w:r>
      <w:r w:rsidR="006629D0">
        <w:rPr>
          <w:rFonts w:ascii="Futura" w:hAnsi="Futura"/>
          <w:b/>
          <w:bCs/>
          <w:color w:val="00AEDB"/>
          <w:sz w:val="24"/>
          <w:szCs w:val="24"/>
        </w:rPr>
        <w:t xml:space="preserve"> </w:t>
      </w:r>
      <w:r w:rsidR="00255C58">
        <w:rPr>
          <w:rFonts w:ascii="Futura" w:hAnsi="Futura"/>
          <w:b/>
          <w:bCs/>
          <w:color w:val="00AEDB"/>
          <w:sz w:val="24"/>
          <w:szCs w:val="24"/>
        </w:rPr>
        <w:t>Preferencing:</w:t>
      </w:r>
    </w:p>
    <w:p w14:paraId="366D9618" w14:textId="64F7F706" w:rsidR="00255C58" w:rsidRPr="00CD2097" w:rsidRDefault="00255C58" w:rsidP="00320403">
      <w:pPr>
        <w:spacing w:after="0" w:line="240" w:lineRule="auto"/>
        <w:rPr>
          <w:rFonts w:ascii="Futura" w:hAnsi="Futura"/>
          <w:sz w:val="24"/>
          <w:szCs w:val="24"/>
        </w:rPr>
      </w:pPr>
      <w:r w:rsidRPr="00CD2097">
        <w:rPr>
          <w:rFonts w:ascii="Futura" w:hAnsi="Futura"/>
          <w:b/>
          <w:bCs/>
          <w:sz w:val="24"/>
          <w:szCs w:val="24"/>
        </w:rPr>
        <w:t>Preferred Agents:</w:t>
      </w:r>
      <w:r w:rsidR="00CD2097">
        <w:rPr>
          <w:rFonts w:ascii="Futura" w:hAnsi="Futura"/>
          <w:b/>
          <w:bCs/>
          <w:sz w:val="24"/>
          <w:szCs w:val="24"/>
        </w:rPr>
        <w:t xml:space="preserve"> </w:t>
      </w:r>
      <w:r w:rsidR="00430EDC">
        <w:rPr>
          <w:rFonts w:ascii="Futura" w:hAnsi="Futura"/>
          <w:b/>
          <w:bCs/>
          <w:sz w:val="24"/>
          <w:szCs w:val="24"/>
        </w:rPr>
        <w:t>Gammaked, Gamunex-C</w:t>
      </w:r>
      <w:r w:rsidR="00B04E1C">
        <w:rPr>
          <w:rFonts w:ascii="Futura" w:hAnsi="Futura"/>
          <w:b/>
          <w:bCs/>
          <w:sz w:val="24"/>
          <w:szCs w:val="24"/>
        </w:rPr>
        <w:t>, Octagam, Privigen</w:t>
      </w:r>
    </w:p>
    <w:p w14:paraId="6E9CE643" w14:textId="6BF2D720" w:rsidR="0090595D" w:rsidRDefault="0090595D" w:rsidP="00320403">
      <w:pPr>
        <w:spacing w:after="0" w:line="240" w:lineRule="auto"/>
        <w:rPr>
          <w:rFonts w:ascii="Futura" w:hAnsi="Futura"/>
          <w:b/>
          <w:bCs/>
          <w:sz w:val="24"/>
          <w:szCs w:val="24"/>
        </w:rPr>
      </w:pPr>
      <w:r w:rsidRPr="00CD2097">
        <w:rPr>
          <w:rFonts w:ascii="Futura" w:hAnsi="Futura"/>
          <w:b/>
          <w:bCs/>
          <w:sz w:val="24"/>
          <w:szCs w:val="24"/>
        </w:rPr>
        <w:t>Secondary Agents:</w:t>
      </w:r>
      <w:r w:rsidR="00CD2097">
        <w:rPr>
          <w:rFonts w:ascii="Futura" w:hAnsi="Futura"/>
          <w:b/>
          <w:bCs/>
          <w:sz w:val="24"/>
          <w:szCs w:val="24"/>
        </w:rPr>
        <w:t xml:space="preserve"> </w:t>
      </w:r>
      <w:r w:rsidR="00B04E1C">
        <w:rPr>
          <w:rFonts w:ascii="Futura" w:hAnsi="Futura"/>
          <w:b/>
          <w:bCs/>
          <w:sz w:val="24"/>
          <w:szCs w:val="24"/>
        </w:rPr>
        <w:t>Alyglo, Asceniv, Bivigam, Flebogamma, Gammagard, Gammagard S/D, Gammaplex, Panzyga, Yimmugo</w:t>
      </w:r>
    </w:p>
    <w:p w14:paraId="6CA5A894" w14:textId="77777777" w:rsidR="00255C58" w:rsidRDefault="00255C58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70B559B7" w14:textId="28E1D3E9" w:rsidR="006629D0" w:rsidRDefault="00386736" w:rsidP="006629D0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Subcutaneous</w:t>
      </w:r>
      <w:r w:rsidR="006629D0">
        <w:rPr>
          <w:rFonts w:ascii="Futura" w:hAnsi="Futura"/>
          <w:b/>
          <w:bCs/>
          <w:color w:val="00AEDB"/>
          <w:sz w:val="24"/>
          <w:szCs w:val="24"/>
        </w:rPr>
        <w:t xml:space="preserve"> Preferencing:</w:t>
      </w:r>
    </w:p>
    <w:p w14:paraId="23C57824" w14:textId="6D0C1674" w:rsidR="006629D0" w:rsidRPr="00CD2097" w:rsidRDefault="006629D0" w:rsidP="006629D0">
      <w:pPr>
        <w:spacing w:after="0" w:line="240" w:lineRule="auto"/>
        <w:rPr>
          <w:rFonts w:ascii="Futura" w:hAnsi="Futura"/>
          <w:sz w:val="24"/>
          <w:szCs w:val="24"/>
        </w:rPr>
      </w:pPr>
      <w:r w:rsidRPr="00CD2097">
        <w:rPr>
          <w:rFonts w:ascii="Futura" w:hAnsi="Futura"/>
          <w:b/>
          <w:bCs/>
          <w:sz w:val="24"/>
          <w:szCs w:val="24"/>
        </w:rPr>
        <w:t>Preferred Agents:</w:t>
      </w:r>
      <w:r>
        <w:rPr>
          <w:rFonts w:ascii="Futura" w:hAnsi="Futura"/>
          <w:b/>
          <w:bCs/>
          <w:sz w:val="24"/>
          <w:szCs w:val="24"/>
        </w:rPr>
        <w:t xml:space="preserve"> </w:t>
      </w:r>
      <w:r w:rsidR="00AF0A71">
        <w:rPr>
          <w:rFonts w:ascii="Futura" w:hAnsi="Futura"/>
          <w:b/>
          <w:bCs/>
          <w:sz w:val="24"/>
          <w:szCs w:val="24"/>
        </w:rPr>
        <w:t>Gammaked, Gamunex-C, Hizentra, Xembify</w:t>
      </w:r>
    </w:p>
    <w:p w14:paraId="699ECD66" w14:textId="75C6A879" w:rsidR="006629D0" w:rsidRDefault="006629D0" w:rsidP="006629D0">
      <w:pPr>
        <w:spacing w:after="0" w:line="240" w:lineRule="auto"/>
        <w:rPr>
          <w:rFonts w:ascii="Futura" w:hAnsi="Futura"/>
          <w:b/>
          <w:bCs/>
          <w:sz w:val="24"/>
          <w:szCs w:val="24"/>
        </w:rPr>
      </w:pPr>
      <w:r w:rsidRPr="00CD2097">
        <w:rPr>
          <w:rFonts w:ascii="Futura" w:hAnsi="Futura"/>
          <w:b/>
          <w:bCs/>
          <w:sz w:val="24"/>
          <w:szCs w:val="24"/>
        </w:rPr>
        <w:t>Secondary Agents:</w:t>
      </w:r>
      <w:r>
        <w:rPr>
          <w:rFonts w:ascii="Futura" w:hAnsi="Futura"/>
          <w:b/>
          <w:bCs/>
          <w:sz w:val="24"/>
          <w:szCs w:val="24"/>
        </w:rPr>
        <w:t xml:space="preserve"> </w:t>
      </w:r>
      <w:r w:rsidR="00AF0A71">
        <w:rPr>
          <w:rFonts w:ascii="Futura" w:hAnsi="Futura"/>
          <w:b/>
          <w:bCs/>
          <w:sz w:val="24"/>
          <w:szCs w:val="24"/>
        </w:rPr>
        <w:t>Cutaquig, Cuvitru, HyQvia, Gammagard Liquid</w:t>
      </w:r>
    </w:p>
    <w:p w14:paraId="04F972CA" w14:textId="77777777" w:rsidR="006629D0" w:rsidRDefault="006629D0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25E29391" w14:textId="2523E219" w:rsidR="00320403" w:rsidRDefault="00B15619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lastRenderedPageBreak/>
        <w:t>Agents</w:t>
      </w:r>
      <w:r w:rsidR="00320403">
        <w:rPr>
          <w:rFonts w:ascii="Futura" w:hAnsi="Futura"/>
          <w:b/>
          <w:bCs/>
          <w:color w:val="00AEDB"/>
          <w:sz w:val="24"/>
          <w:szCs w:val="24"/>
        </w:rPr>
        <w:t>:</w:t>
      </w:r>
    </w:p>
    <w:p w14:paraId="1171CEDC" w14:textId="77777777" w:rsidR="005027EC" w:rsidRPr="00B317BA" w:rsidRDefault="005027EC" w:rsidP="003E1B92">
      <w:pPr>
        <w:spacing w:after="0" w:line="240" w:lineRule="auto"/>
        <w:jc w:val="both"/>
        <w:rPr>
          <w:rFonts w:ascii="Futura" w:eastAsia="Calibri" w:hAnsi="Futura" w:cs="Calibri"/>
          <w:b/>
          <w:bCs/>
          <w:color w:val="000000"/>
          <w:sz w:val="20"/>
          <w:szCs w:val="20"/>
          <w:highlight w:val="yellow"/>
          <w:lang w:bidi="en-US"/>
        </w:rPr>
      </w:pPr>
    </w:p>
    <w:p w14:paraId="07B567DB" w14:textId="3ED3B0F1" w:rsidR="007413A5" w:rsidRDefault="003E1B92" w:rsidP="007413A5">
      <w:pPr>
        <w:jc w:val="both"/>
        <w:rPr>
          <w:rFonts w:ascii="Aptos Narrow" w:eastAsia="Times New Roman" w:hAnsi="Aptos Narrow" w:cs="Times New Roman"/>
          <w:b/>
          <w:bCs/>
          <w:color w:val="000000"/>
          <w:kern w:val="0"/>
          <w14:ligatures w14:val="none"/>
        </w:rPr>
      </w:pPr>
      <w:r w:rsidRPr="00467FD5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HCPCS</w:t>
      </w:r>
      <w:r w:rsidRPr="00450132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 xml:space="preserve">: </w:t>
      </w:r>
      <w:r w:rsidR="007413A5" w:rsidRPr="007413A5">
        <w:rPr>
          <w:rFonts w:ascii="Aptos Narrow" w:eastAsia="Times New Roman" w:hAnsi="Aptos Narrow" w:cs="Times New Roman"/>
          <w:b/>
          <w:bCs/>
          <w:color w:val="000000"/>
          <w:kern w:val="0"/>
          <w14:ligatures w14:val="none"/>
        </w:rPr>
        <w:t>J1561, J1568, J1459, J1552, J1554, J1556, J1572, J1569, J1557, J1576, J3590/C9399</w:t>
      </w:r>
      <w:r w:rsidR="007413A5">
        <w:rPr>
          <w:rFonts w:ascii="Aptos Narrow" w:eastAsia="Times New Roman" w:hAnsi="Aptos Narrow" w:cs="Times New Roman"/>
          <w:b/>
          <w:bCs/>
          <w:color w:val="000000"/>
          <w:kern w:val="0"/>
          <w14:ligatures w14:val="none"/>
        </w:rPr>
        <w:t xml:space="preserve"> and </w:t>
      </w:r>
      <w:r w:rsidR="007413A5" w:rsidRPr="007413A5">
        <w:rPr>
          <w:rFonts w:ascii="Aptos Narrow" w:eastAsia="Times New Roman" w:hAnsi="Aptos Narrow" w:cs="Times New Roman"/>
          <w:b/>
          <w:bCs/>
          <w:color w:val="000000"/>
          <w:kern w:val="0"/>
          <w14:ligatures w14:val="none"/>
        </w:rPr>
        <w:t>J1561, J1559, J1558,</w:t>
      </w:r>
      <w:r w:rsidR="007413A5">
        <w:rPr>
          <w:rFonts w:ascii="Aptos Narrow" w:eastAsia="Times New Roman" w:hAnsi="Aptos Narrow" w:cs="Times New Roman"/>
          <w:b/>
          <w:bCs/>
          <w:color w:val="000000"/>
          <w:kern w:val="0"/>
          <w14:ligatures w14:val="none"/>
        </w:rPr>
        <w:t xml:space="preserve"> </w:t>
      </w:r>
      <w:r w:rsidR="007413A5" w:rsidRPr="007413A5">
        <w:rPr>
          <w:rFonts w:ascii="Aptos Narrow" w:eastAsia="Times New Roman" w:hAnsi="Aptos Narrow" w:cs="Times New Roman"/>
          <w:b/>
          <w:bCs/>
          <w:color w:val="000000"/>
          <w:kern w:val="0"/>
          <w14:ligatures w14:val="none"/>
        </w:rPr>
        <w:t>J1551, J1555, J1575, J1569</w:t>
      </w:r>
    </w:p>
    <w:p w14:paraId="73756E07" w14:textId="289DB943" w:rsidR="00F525B1" w:rsidRPr="00450132" w:rsidRDefault="00F525B1" w:rsidP="006D4824">
      <w:pPr>
        <w:jc w:val="both"/>
        <w:rPr>
          <w:rFonts w:ascii="Aptos Narrow" w:eastAsia="Times New Roman" w:hAnsi="Aptos Narrow" w:cs="Times New Roman"/>
          <w:b/>
          <w:bCs/>
          <w:color w:val="000000"/>
          <w:kern w:val="0"/>
          <w14:ligatures w14:val="none"/>
        </w:rPr>
      </w:pPr>
      <w:r w:rsidRPr="00F525B1">
        <w:rPr>
          <w:noProof/>
        </w:rPr>
        <w:drawing>
          <wp:inline distT="0" distB="0" distL="0" distR="0" wp14:anchorId="472B1565" wp14:editId="76AA9D59">
            <wp:extent cx="5943600" cy="184150"/>
            <wp:effectExtent l="0" t="0" r="0" b="6350"/>
            <wp:docPr id="1198419388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D4CEF" w14:textId="4FF2FCF5" w:rsidR="003E6584" w:rsidRPr="003E6584" w:rsidRDefault="003E6584" w:rsidP="00CA449A">
      <w:pPr>
        <w:numPr>
          <w:ilvl w:val="0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Intravenous Immune Globulin may be covered for </w:t>
      </w:r>
      <w:r w:rsidR="001359D7"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ALL</w:t>
      </w: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the following:</w:t>
      </w:r>
    </w:p>
    <w:p w14:paraId="6D9D3A4C" w14:textId="0C1585F4" w:rsidR="003E6584" w:rsidRPr="003E6584" w:rsidRDefault="003E6584" w:rsidP="00CA449A">
      <w:pPr>
        <w:numPr>
          <w:ilvl w:val="1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Intravenous immune globulin (IVIG) is </w:t>
      </w:r>
      <w:r w:rsidR="001359D7"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a pooled</w:t>
      </w: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plasma derivative approved for </w:t>
      </w:r>
      <w:r w:rsidR="001359D7"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the treatment</w:t>
      </w: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of primary immune deficiency disease.</w:t>
      </w:r>
    </w:p>
    <w:p w14:paraId="43D26EC5" w14:textId="77777777" w:rsidR="003E6584" w:rsidRPr="003E6584" w:rsidRDefault="003E6584" w:rsidP="00CA449A">
      <w:pPr>
        <w:numPr>
          <w:ilvl w:val="1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Patient with primary immune deficiency disease, as indicated by diagnosis of 1 or more of the following:</w:t>
      </w:r>
    </w:p>
    <w:p w14:paraId="7AF04A76" w14:textId="77777777" w:rsidR="003E6584" w:rsidRPr="003E6584" w:rsidRDefault="003E6584" w:rsidP="00CA449A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Hereditary hypogammaglobulinemia</w:t>
      </w:r>
    </w:p>
    <w:p w14:paraId="6F659B55" w14:textId="77777777" w:rsidR="003E6584" w:rsidRPr="003E6584" w:rsidRDefault="003E6584" w:rsidP="00CA449A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Selective deficiency of IgA</w:t>
      </w:r>
    </w:p>
    <w:p w14:paraId="2804FF7F" w14:textId="77777777" w:rsidR="003E6584" w:rsidRPr="003E6584" w:rsidRDefault="003E6584" w:rsidP="00CA449A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Selective deficiency of IgG subclasses</w:t>
      </w:r>
    </w:p>
    <w:p w14:paraId="62CA691A" w14:textId="77777777" w:rsidR="003E6584" w:rsidRPr="003E6584" w:rsidRDefault="003E6584" w:rsidP="00CA449A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Selective deficiency of IgM</w:t>
      </w:r>
    </w:p>
    <w:p w14:paraId="0A2EEC9B" w14:textId="77777777" w:rsidR="003E6584" w:rsidRPr="003E6584" w:rsidRDefault="003E6584" w:rsidP="00CA449A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Immunodeficiency with increased IgM</w:t>
      </w:r>
    </w:p>
    <w:p w14:paraId="4537A7D6" w14:textId="77777777" w:rsidR="003E6584" w:rsidRPr="003E6584" w:rsidRDefault="003E6584" w:rsidP="00CA449A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Antibody deficiency with near-normal immunoglobulins or with hyperimmunoglobulinemia</w:t>
      </w:r>
    </w:p>
    <w:p w14:paraId="032E990F" w14:textId="77777777" w:rsidR="003E6584" w:rsidRPr="003E6584" w:rsidRDefault="003E6584" w:rsidP="00CA449A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Transient hypogammaglobulinemia of infancy</w:t>
      </w:r>
    </w:p>
    <w:p w14:paraId="2DB27F89" w14:textId="77777777" w:rsidR="003E6584" w:rsidRPr="003E6584" w:rsidRDefault="003E6584" w:rsidP="00CA449A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Severe combined immunodeficiency (SCID) with reticular dysgenesis</w:t>
      </w:r>
    </w:p>
    <w:p w14:paraId="33D36F42" w14:textId="77777777" w:rsidR="003E6584" w:rsidRPr="003E6584" w:rsidRDefault="003E6584" w:rsidP="00CA449A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SCID with low T-cell and B-cell numbers</w:t>
      </w:r>
    </w:p>
    <w:p w14:paraId="51600234" w14:textId="77777777" w:rsidR="003E6584" w:rsidRPr="003E6584" w:rsidRDefault="003E6584" w:rsidP="00CA449A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SCID with low or normal B-cell numbers</w:t>
      </w:r>
    </w:p>
    <w:p w14:paraId="6B416CD0" w14:textId="77777777" w:rsidR="003E6584" w:rsidRPr="003E6584" w:rsidRDefault="003E6584" w:rsidP="00CA449A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Purine nucleoside phosphorylase deficiency</w:t>
      </w:r>
    </w:p>
    <w:p w14:paraId="47F8654B" w14:textId="77777777" w:rsidR="003E6584" w:rsidRPr="003E6584" w:rsidRDefault="003E6584" w:rsidP="00CA449A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Major histocompatibility complex class I deficiency</w:t>
      </w:r>
    </w:p>
    <w:p w14:paraId="1F52C04B" w14:textId="77777777" w:rsidR="003E6584" w:rsidRPr="003E6584" w:rsidRDefault="003E6584" w:rsidP="00CA449A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Major histocompatibility complex class II deficiency</w:t>
      </w:r>
    </w:p>
    <w:p w14:paraId="44A7D31D" w14:textId="77777777" w:rsidR="003E6584" w:rsidRPr="003E6584" w:rsidRDefault="003E6584" w:rsidP="00CA449A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Activated phosphoinositide 3-kinase delta syndrome</w:t>
      </w:r>
    </w:p>
    <w:p w14:paraId="755ADF84" w14:textId="77777777" w:rsidR="003E6584" w:rsidRPr="003E6584" w:rsidRDefault="003E6584" w:rsidP="00CA449A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Other combined immunodeficiency</w:t>
      </w:r>
    </w:p>
    <w:p w14:paraId="3A3DBEF1" w14:textId="77777777" w:rsidR="003E6584" w:rsidRPr="003E6584" w:rsidRDefault="003E6584" w:rsidP="00CA449A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Combined immunodeficiency, unspecified</w:t>
      </w:r>
    </w:p>
    <w:p w14:paraId="6DD30448" w14:textId="77777777" w:rsidR="003E6584" w:rsidRPr="003E6584" w:rsidRDefault="003E6584" w:rsidP="00CA449A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Wiskott-Aldrich syndrome</w:t>
      </w:r>
    </w:p>
    <w:p w14:paraId="53582B1A" w14:textId="77777777" w:rsidR="003E6584" w:rsidRPr="003E6584" w:rsidRDefault="003E6584" w:rsidP="00CA449A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Di George's syndrome</w:t>
      </w:r>
    </w:p>
    <w:p w14:paraId="787A627A" w14:textId="77777777" w:rsidR="003E6584" w:rsidRPr="003E6584" w:rsidRDefault="003E6584" w:rsidP="00CA449A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Hyper IgE syndrome</w:t>
      </w:r>
    </w:p>
    <w:p w14:paraId="0A20E0F4" w14:textId="77777777" w:rsidR="003E6584" w:rsidRPr="003E6584" w:rsidRDefault="003E6584" w:rsidP="00CA449A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Common variable immunodeficiency with predominant abnormalities of B-cell numbers and function</w:t>
      </w:r>
    </w:p>
    <w:p w14:paraId="2A62A338" w14:textId="77777777" w:rsidR="003E6584" w:rsidRPr="003E6584" w:rsidRDefault="003E6584" w:rsidP="00CA449A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Common variable immunodeficiency with predominant immunoregulatory T-cell disorders</w:t>
      </w:r>
    </w:p>
    <w:p w14:paraId="251C6620" w14:textId="77777777" w:rsidR="003E6584" w:rsidRPr="003E6584" w:rsidRDefault="003E6584" w:rsidP="00CA449A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Common variable immunodeficiency with autoantibodies to B-cells or T-cells</w:t>
      </w:r>
    </w:p>
    <w:p w14:paraId="4D8697BD" w14:textId="77777777" w:rsidR="003E6584" w:rsidRPr="003E6584" w:rsidRDefault="003E6584" w:rsidP="00CA449A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Other common variable immunodeficiency</w:t>
      </w:r>
    </w:p>
    <w:p w14:paraId="3F781DC1" w14:textId="77777777" w:rsidR="003E6584" w:rsidRPr="003E6584" w:rsidRDefault="003E6584" w:rsidP="00CA449A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Common variable immunodeficiency, unspecified</w:t>
      </w:r>
    </w:p>
    <w:p w14:paraId="7E1A44C2" w14:textId="77777777" w:rsidR="003E6584" w:rsidRPr="003E6584" w:rsidRDefault="003E6584" w:rsidP="00CA449A">
      <w:pPr>
        <w:numPr>
          <w:ilvl w:val="2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Cerebellar ataxia with defective DNA repair</w:t>
      </w:r>
    </w:p>
    <w:p w14:paraId="50CCC9E6" w14:textId="68C63ED1" w:rsidR="003E6584" w:rsidRPr="003E6584" w:rsidRDefault="003E6584" w:rsidP="00CA449A">
      <w:pPr>
        <w:numPr>
          <w:ilvl w:val="1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IVIG is/will be administered </w:t>
      </w:r>
      <w:r w:rsidR="001359D7"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at</w:t>
      </w: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home.</w:t>
      </w:r>
    </w:p>
    <w:p w14:paraId="5B6A6D78" w14:textId="5B06050D" w:rsidR="003E6584" w:rsidRPr="003E6584" w:rsidRDefault="003E6584" w:rsidP="00CA449A">
      <w:pPr>
        <w:numPr>
          <w:ilvl w:val="1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Treating </w:t>
      </w:r>
      <w:r w:rsidR="001359D7"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practitioners have</w:t>
      </w: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determined that </w:t>
      </w:r>
      <w:r w:rsidR="001359D7"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the administration</w:t>
      </w: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of IVIG in patient's home is medically appropriate.</w:t>
      </w:r>
    </w:p>
    <w:p w14:paraId="1CF68A89" w14:textId="6777EF36" w:rsidR="003E6584" w:rsidRPr="003E6584" w:rsidRDefault="003E6584" w:rsidP="00CA449A">
      <w:pPr>
        <w:numPr>
          <w:ilvl w:val="0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Intravenous Immune Globulin is NOT COVERED for ANY of the following:</w:t>
      </w:r>
    </w:p>
    <w:p w14:paraId="392D5980" w14:textId="1DEC7002" w:rsidR="003E6584" w:rsidRPr="003E6584" w:rsidRDefault="003E6584" w:rsidP="00CA449A">
      <w:pPr>
        <w:numPr>
          <w:ilvl w:val="1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More than one unit of HCPCS code Q2052 per infusion date of service</w:t>
      </w:r>
    </w:p>
    <w:p w14:paraId="1BCF5207" w14:textId="77777777" w:rsidR="003E6584" w:rsidRDefault="003E6584" w:rsidP="00CA449A">
      <w:pPr>
        <w:numPr>
          <w:ilvl w:val="1"/>
          <w:numId w:val="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3E6584">
        <w:rPr>
          <w:rFonts w:ascii="Futura" w:eastAsia="Calibri" w:hAnsi="Futura" w:cs="Calibri"/>
          <w:color w:val="000000"/>
          <w:sz w:val="20"/>
          <w:szCs w:val="20"/>
          <w:lang w:bidi="en-US"/>
        </w:rPr>
        <w:t>HCPCS code J1573 and J2791</w:t>
      </w:r>
    </w:p>
    <w:p w14:paraId="4D40E409" w14:textId="1291B886" w:rsidR="0094358C" w:rsidRPr="0094358C" w:rsidRDefault="0094358C" w:rsidP="00CA449A">
      <w:pPr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External Infusion Pumps may be covered for </w:t>
      </w:r>
      <w:r w:rsidRPr="0094358C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1 or more</w:t>
      </w: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 of the following:</w:t>
      </w:r>
    </w:p>
    <w:p w14:paraId="147C2C00" w14:textId="17722A43" w:rsidR="0094358C" w:rsidRPr="00BC173C" w:rsidRDefault="0094358C" w:rsidP="00BC173C">
      <w:pPr>
        <w:numPr>
          <w:ilvl w:val="1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External infusion pump, drug necessitating use of pump, and necessary supplies, as indicated by </w:t>
      </w:r>
      <w:r w:rsidRPr="0094358C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1 or more</w:t>
      </w: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 of the following:</w:t>
      </w:r>
    </w:p>
    <w:p w14:paraId="7AB0C14E" w14:textId="19A0288B" w:rsidR="0094358C" w:rsidRPr="0094358C" w:rsidRDefault="0094358C" w:rsidP="00CA449A">
      <w:pPr>
        <w:numPr>
          <w:ilvl w:val="2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 Infusion pump to administer subcutaneous immune globulin (SCIg), as indicated by </w:t>
      </w:r>
      <w:r w:rsidR="00CA449A" w:rsidRPr="0094358C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ALL</w:t>
      </w: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the following:</w:t>
      </w:r>
    </w:p>
    <w:p w14:paraId="69F4CE36" w14:textId="433D9060" w:rsidR="0094358C" w:rsidRPr="0094358C" w:rsidRDefault="0094358C" w:rsidP="00CA449A">
      <w:pPr>
        <w:numPr>
          <w:ilvl w:val="3"/>
          <w:numId w:val="92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SCIg preparation is </w:t>
      </w:r>
      <w:r w:rsidR="00CA449A"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a pooled</w:t>
      </w: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plasma derivative that is FDA-approved.</w:t>
      </w:r>
    </w:p>
    <w:p w14:paraId="6F97D7A3" w14:textId="77777777" w:rsidR="0094358C" w:rsidRPr="0094358C" w:rsidRDefault="0094358C" w:rsidP="00CA449A">
      <w:pPr>
        <w:numPr>
          <w:ilvl w:val="3"/>
          <w:numId w:val="93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lastRenderedPageBreak/>
        <w:t>SCIg is administered in home.</w:t>
      </w:r>
    </w:p>
    <w:p w14:paraId="2F38893E" w14:textId="1CDEE26E" w:rsidR="0094358C" w:rsidRPr="0094358C" w:rsidRDefault="0094358C" w:rsidP="00CA449A">
      <w:pPr>
        <w:numPr>
          <w:ilvl w:val="3"/>
          <w:numId w:val="94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Treating </w:t>
      </w:r>
      <w:r w:rsidR="00CA449A"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practitioners have</w:t>
      </w: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determined that administration of SCIg in beneficiary's home is medically necessary and appropriate.</w:t>
      </w:r>
    </w:p>
    <w:p w14:paraId="26F5E146" w14:textId="77777777" w:rsidR="0094358C" w:rsidRPr="0094358C" w:rsidRDefault="0094358C" w:rsidP="00CA449A">
      <w:pPr>
        <w:numPr>
          <w:ilvl w:val="3"/>
          <w:numId w:val="9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Beneficiary is diagnosed with </w:t>
      </w:r>
      <w:r w:rsidRPr="0094358C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1 or more</w:t>
      </w: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 of the following:</w:t>
      </w:r>
    </w:p>
    <w:p w14:paraId="1D9EAE5A" w14:textId="77777777" w:rsidR="00CA449A" w:rsidRDefault="0094358C" w:rsidP="00CA449A">
      <w:pPr>
        <w:numPr>
          <w:ilvl w:val="4"/>
          <w:numId w:val="96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Primary immune deficiency disease</w:t>
      </w:r>
    </w:p>
    <w:p w14:paraId="61E0C3B3" w14:textId="6B938304" w:rsidR="0094358C" w:rsidRPr="0094358C" w:rsidRDefault="0094358C" w:rsidP="00CA449A">
      <w:pPr>
        <w:numPr>
          <w:ilvl w:val="4"/>
          <w:numId w:val="96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Chronic inflammatory demyelinating polyneuropathy that has responded to IVIg treatment</w:t>
      </w:r>
    </w:p>
    <w:p w14:paraId="5901308A" w14:textId="4D0BAF6D" w:rsidR="0094358C" w:rsidRPr="00FB7C80" w:rsidRDefault="0094358C" w:rsidP="00F938D0">
      <w:pPr>
        <w:numPr>
          <w:ilvl w:val="0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FB7C80">
        <w:rPr>
          <w:rFonts w:ascii="Futura" w:eastAsia="Calibri" w:hAnsi="Futura" w:cs="Calibri"/>
          <w:color w:val="000000"/>
          <w:sz w:val="20"/>
          <w:szCs w:val="20"/>
          <w:lang w:bidi="en-US"/>
        </w:rPr>
        <w:t> External Infusion Pumps are </w:t>
      </w:r>
      <w:r w:rsidRPr="00FB7C80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NOT COVERED</w:t>
      </w:r>
      <w:r w:rsidRPr="00FB7C80">
        <w:rPr>
          <w:rFonts w:ascii="Futura" w:eastAsia="Calibri" w:hAnsi="Futura" w:cs="Calibri"/>
          <w:color w:val="000000"/>
          <w:sz w:val="20"/>
          <w:szCs w:val="20"/>
          <w:lang w:bidi="en-US"/>
        </w:rPr>
        <w:t> for </w:t>
      </w:r>
      <w:r w:rsidRPr="00FB7C80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ANY</w:t>
      </w:r>
      <w:r w:rsidRPr="00FB7C80">
        <w:rPr>
          <w:rFonts w:ascii="Futura" w:eastAsia="Calibri" w:hAnsi="Futura" w:cs="Calibri"/>
          <w:color w:val="000000"/>
          <w:sz w:val="20"/>
          <w:szCs w:val="20"/>
          <w:lang w:bidi="en-US"/>
        </w:rPr>
        <w:t> of the following:</w:t>
      </w:r>
    </w:p>
    <w:p w14:paraId="1DAFF4D4" w14:textId="77777777" w:rsidR="0094358C" w:rsidRPr="0094358C" w:rsidRDefault="0094358C" w:rsidP="00CA449A">
      <w:pPr>
        <w:numPr>
          <w:ilvl w:val="1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Claim for subcutaneous insulin administered by infusion pump other than E0784</w:t>
      </w:r>
    </w:p>
    <w:p w14:paraId="02502291" w14:textId="77777777" w:rsidR="0094358C" w:rsidRPr="0094358C" w:rsidRDefault="0094358C" w:rsidP="00CA449A">
      <w:pPr>
        <w:numPr>
          <w:ilvl w:val="1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Claim for supply code A4221, A4222, or K0552, used with external infusion pump E0784 (effective on or after January 01, 2017)</w:t>
      </w:r>
    </w:p>
    <w:p w14:paraId="574AB4F8" w14:textId="5D32C536" w:rsidR="0094358C" w:rsidRPr="0094358C" w:rsidRDefault="0094358C" w:rsidP="00CA449A">
      <w:pPr>
        <w:numPr>
          <w:ilvl w:val="1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Administration of epoprostenol (J1325) or treprostinil (J3285) with infusion pump other than K0455</w:t>
      </w:r>
    </w:p>
    <w:p w14:paraId="680D72F3" w14:textId="77777777" w:rsidR="0094358C" w:rsidRPr="0094358C" w:rsidRDefault="0094358C" w:rsidP="00CA449A">
      <w:pPr>
        <w:numPr>
          <w:ilvl w:val="1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Gallium nitrate (J1457) used for more than 5 days or for more than one course of treatment for same episode of hypercalcemia</w:t>
      </w:r>
    </w:p>
    <w:p w14:paraId="66FFB17C" w14:textId="77777777" w:rsidR="0094358C" w:rsidRPr="0094358C" w:rsidRDefault="0094358C" w:rsidP="00CA449A">
      <w:pPr>
        <w:numPr>
          <w:ilvl w:val="1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Levodopa-carbidopa enteral suspension for beneficiary with </w:t>
      </w:r>
      <w:r w:rsidRPr="0094358C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1 or more</w:t>
      </w: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 of the following:</w:t>
      </w:r>
    </w:p>
    <w:p w14:paraId="7A48E0BF" w14:textId="77777777" w:rsidR="0094358C" w:rsidRPr="0094358C" w:rsidRDefault="0094358C" w:rsidP="00CA449A">
      <w:pPr>
        <w:numPr>
          <w:ilvl w:val="2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Atypical Parkinson's syndrome ("Parkinson's Plus" syndrome) or secondary Parkinson's</w:t>
      </w:r>
    </w:p>
    <w:p w14:paraId="58E30582" w14:textId="77777777" w:rsidR="0094358C" w:rsidRPr="0094358C" w:rsidRDefault="0094358C" w:rsidP="00CA449A">
      <w:pPr>
        <w:numPr>
          <w:ilvl w:val="2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Non-levodopa responsive Parkinson's disease</w:t>
      </w:r>
    </w:p>
    <w:p w14:paraId="18572B77" w14:textId="77777777" w:rsidR="0094358C" w:rsidRPr="0094358C" w:rsidRDefault="0094358C" w:rsidP="00CA449A">
      <w:pPr>
        <w:numPr>
          <w:ilvl w:val="2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Contraindication to percutaneous endoscopic gastro-jejunal (PEG-J) tube placement or long-term use of PEG-J</w:t>
      </w:r>
    </w:p>
    <w:p w14:paraId="632B2289" w14:textId="3814D2B6" w:rsidR="0094358C" w:rsidRPr="0094358C" w:rsidRDefault="0094358C" w:rsidP="00CA449A">
      <w:pPr>
        <w:numPr>
          <w:ilvl w:val="1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Claim submitted to DME Medicare Administrative Contractor for PEG-J</w:t>
      </w:r>
    </w:p>
    <w:p w14:paraId="08D8C55A" w14:textId="77777777" w:rsidR="0094358C" w:rsidRPr="0094358C" w:rsidRDefault="0094358C" w:rsidP="00CA449A">
      <w:pPr>
        <w:numPr>
          <w:ilvl w:val="1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Claim for more than 875 units of service (25 vials) of blinatumomab (J9039)</w:t>
      </w:r>
    </w:p>
    <w:p w14:paraId="7F17D087" w14:textId="77777777" w:rsidR="0094358C" w:rsidRPr="0094358C" w:rsidRDefault="0094358C" w:rsidP="00CA449A">
      <w:pPr>
        <w:numPr>
          <w:ilvl w:val="1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External infusion pump and related drugs and supplies used in home setting for treatment of thromboembolic disease and/or pulmonary embolism by heparin infusion</w:t>
      </w:r>
    </w:p>
    <w:p w14:paraId="4FA7CC25" w14:textId="77777777" w:rsidR="0094358C" w:rsidRPr="0094358C" w:rsidRDefault="0094358C" w:rsidP="00CA449A">
      <w:pPr>
        <w:numPr>
          <w:ilvl w:val="1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Infusion controller device (E1399)</w:t>
      </w:r>
    </w:p>
    <w:p w14:paraId="734F8014" w14:textId="30483778" w:rsidR="0094358C" w:rsidRPr="0094358C" w:rsidRDefault="0094358C" w:rsidP="00CA449A">
      <w:pPr>
        <w:numPr>
          <w:ilvl w:val="1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IV pole (E0776) billed with ambulatory infusion pump (E0779, E0780, E0781, E0784, or K0455)</w:t>
      </w:r>
    </w:p>
    <w:p w14:paraId="4BF17AE6" w14:textId="77777777" w:rsidR="0094358C" w:rsidRPr="0094358C" w:rsidRDefault="0094358C" w:rsidP="00CA449A">
      <w:pPr>
        <w:numPr>
          <w:ilvl w:val="1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Claim for supply A4224 or A4225 used with external infusion pump other than HCPCS code E0784 (effective on or after January 01, 2017)</w:t>
      </w:r>
    </w:p>
    <w:p w14:paraId="0A04984F" w14:textId="742CBF80" w:rsidR="0094358C" w:rsidRPr="0094358C" w:rsidRDefault="0094358C" w:rsidP="00CA449A">
      <w:pPr>
        <w:numPr>
          <w:ilvl w:val="1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Claim for drugs, related supplies, or equipment billed by supplier who does not actually dispense the drug</w:t>
      </w:r>
    </w:p>
    <w:p w14:paraId="6D53BE80" w14:textId="73BB8436" w:rsidR="0094358C" w:rsidRPr="0094358C" w:rsidRDefault="0094358C" w:rsidP="00CA449A">
      <w:pPr>
        <w:numPr>
          <w:ilvl w:val="1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Claim for drugs, related supplies, or equipment billed by supplier who is not permitted under all applicable federal, state, and local laws and regulations to dispense drugs</w:t>
      </w:r>
    </w:p>
    <w:p w14:paraId="40C0305B" w14:textId="46A89974" w:rsidR="0094358C" w:rsidRPr="0094358C" w:rsidRDefault="0094358C" w:rsidP="00CA449A">
      <w:pPr>
        <w:numPr>
          <w:ilvl w:val="1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Claim for drugs, related supplies, or equipment billed by supplier who is not licensed in state where they are physically located</w:t>
      </w:r>
    </w:p>
    <w:p w14:paraId="280BF6A4" w14:textId="49C6D180" w:rsidR="0094358C" w:rsidRPr="0094358C" w:rsidRDefault="0094358C" w:rsidP="00CA449A">
      <w:pPr>
        <w:numPr>
          <w:ilvl w:val="1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Compounded drug NOC (J7999) billed with external infusion pump</w:t>
      </w:r>
    </w:p>
    <w:p w14:paraId="6E01B469" w14:textId="54E8E704" w:rsidR="0094358C" w:rsidRPr="0094358C" w:rsidRDefault="0094358C" w:rsidP="00CA449A">
      <w:pPr>
        <w:numPr>
          <w:ilvl w:val="1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Claim for compounded drug that does not use code Q9977 or J7999</w:t>
      </w:r>
    </w:p>
    <w:p w14:paraId="5273213F" w14:textId="05F37380" w:rsidR="0094358C" w:rsidRPr="0094358C" w:rsidRDefault="0094358C" w:rsidP="00CA449A">
      <w:pPr>
        <w:numPr>
          <w:ilvl w:val="1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Drug billed alone without DME covered pump being used (noncovered, no benefit)</w:t>
      </w:r>
    </w:p>
    <w:p w14:paraId="25CF4687" w14:textId="67A2B051" w:rsidR="0094358C" w:rsidRPr="0094358C" w:rsidRDefault="0094358C" w:rsidP="00CA449A">
      <w:pPr>
        <w:numPr>
          <w:ilvl w:val="1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Disposable drug delivery system (including elastomeric infusion pumps (A4305, A4306, A9274)) (noncovered, no benefit)</w:t>
      </w:r>
    </w:p>
    <w:p w14:paraId="1BD17E50" w14:textId="675303D1" w:rsidR="0094358C" w:rsidRPr="0094358C" w:rsidRDefault="0094358C" w:rsidP="00CA449A">
      <w:pPr>
        <w:numPr>
          <w:ilvl w:val="1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Drug or supply used with disposable drug delivery system (noncovered, no benefit)</w:t>
      </w:r>
    </w:p>
    <w:p w14:paraId="4EE791A9" w14:textId="76C65472" w:rsidR="0094358C" w:rsidRPr="0094358C" w:rsidRDefault="0094358C" w:rsidP="00CA449A">
      <w:pPr>
        <w:numPr>
          <w:ilvl w:val="1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Payment for separately billed catheter insertion device for use with external insulin infusion pump infusion cannula</w:t>
      </w:r>
    </w:p>
    <w:p w14:paraId="24CBEEFE" w14:textId="31A28C5B" w:rsidR="0094358C" w:rsidRPr="0094358C" w:rsidRDefault="0094358C" w:rsidP="00CA449A">
      <w:pPr>
        <w:numPr>
          <w:ilvl w:val="1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Separate payment for replacement battery (K0601, K0602, K0603, K0604, K0605) for rented infusion pump</w:t>
      </w:r>
    </w:p>
    <w:p w14:paraId="3E9C3DA5" w14:textId="77777777" w:rsidR="0094358C" w:rsidRPr="0094358C" w:rsidRDefault="0094358C" w:rsidP="00CA449A">
      <w:pPr>
        <w:numPr>
          <w:ilvl w:val="1"/>
          <w:numId w:val="5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94358C">
        <w:rPr>
          <w:rFonts w:ascii="Futura" w:eastAsia="Calibri" w:hAnsi="Futura" w:cs="Calibri"/>
          <w:color w:val="000000"/>
          <w:sz w:val="20"/>
          <w:szCs w:val="20"/>
          <w:lang w:bidi="en-US"/>
        </w:rPr>
        <w:t>Separate payment for additional pump to be used as backup</w:t>
      </w:r>
    </w:p>
    <w:p w14:paraId="474BF4D8" w14:textId="43EF4B1C" w:rsidR="001B0964" w:rsidRPr="001B0964" w:rsidRDefault="001B0964" w:rsidP="00CA449A">
      <w:pPr>
        <w:numPr>
          <w:ilvl w:val="0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Off-Label Use of Intravenous Immune Globulin (IVIG) may be covered for </w:t>
      </w:r>
      <w:r w:rsidRPr="001B0964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1 or more</w:t>
      </w: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 of the following:</w:t>
      </w:r>
    </w:p>
    <w:p w14:paraId="47FCE839" w14:textId="70610B93" w:rsidR="001B0964" w:rsidRPr="001B0964" w:rsidRDefault="001B0964" w:rsidP="00CA449A">
      <w:pPr>
        <w:numPr>
          <w:ilvl w:val="1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lastRenderedPageBreak/>
        <w:t>Stiff-person syndrome and standard treatment with diazepam is no longer effective, as indicated by </w:t>
      </w:r>
      <w:r w:rsidR="00CA449A" w:rsidRPr="001B0964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ALL</w:t>
      </w: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the following:</w:t>
      </w:r>
    </w:p>
    <w:p w14:paraId="4C659FCF" w14:textId="77777777" w:rsidR="001B0964" w:rsidRPr="001B0964" w:rsidRDefault="001B0964" w:rsidP="00CA449A">
      <w:pPr>
        <w:numPr>
          <w:ilvl w:val="2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Diagnosis confirmed by anti-glutamic acid decarboxylase antibody testing</w:t>
      </w:r>
    </w:p>
    <w:p w14:paraId="71B09E84" w14:textId="77777777" w:rsidR="001B0964" w:rsidRPr="001B0964" w:rsidRDefault="001B0964" w:rsidP="00CA449A">
      <w:pPr>
        <w:numPr>
          <w:ilvl w:val="2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Patient with inadequate response to first-line treatment (benzodiazepines and/or baclofen)</w:t>
      </w:r>
    </w:p>
    <w:p w14:paraId="1FBE1163" w14:textId="3FA5A094" w:rsidR="001B0964" w:rsidRPr="001B0964" w:rsidRDefault="001B0964" w:rsidP="00CA449A">
      <w:pPr>
        <w:numPr>
          <w:ilvl w:val="1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Sight-threatening autoimmune retinopathy, and </w:t>
      </w:r>
      <w:r w:rsidR="00CA449A" w:rsidRPr="001B0964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ALL</w:t>
      </w: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the following:</w:t>
      </w:r>
    </w:p>
    <w:p w14:paraId="59ADB7F0" w14:textId="77777777" w:rsidR="001B0964" w:rsidRPr="001B0964" w:rsidRDefault="001B0964" w:rsidP="00CA449A">
      <w:pPr>
        <w:numPr>
          <w:ilvl w:val="2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Refractory to corticosteroid and immunosuppressant therapy</w:t>
      </w:r>
    </w:p>
    <w:p w14:paraId="78765C22" w14:textId="77777777" w:rsidR="001B0964" w:rsidRPr="001B0964" w:rsidRDefault="001B0964" w:rsidP="00CA449A">
      <w:pPr>
        <w:numPr>
          <w:ilvl w:val="2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Dosage of IVIG meets </w:t>
      </w:r>
      <w:r w:rsidRPr="001B0964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1 or more</w:t>
      </w: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 of the following:</w:t>
      </w:r>
    </w:p>
    <w:p w14:paraId="6FB97E68" w14:textId="77777777" w:rsidR="001B0964" w:rsidRPr="001B0964" w:rsidRDefault="001B0964" w:rsidP="00CA449A">
      <w:pPr>
        <w:numPr>
          <w:ilvl w:val="3"/>
          <w:numId w:val="188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Induction dose: 1.5 g/kg in divided dose over 3 days</w:t>
      </w:r>
    </w:p>
    <w:p w14:paraId="3A3357F0" w14:textId="1EBD286D" w:rsidR="001B0964" w:rsidRPr="001B0964" w:rsidRDefault="001B0964" w:rsidP="00CA449A">
      <w:pPr>
        <w:numPr>
          <w:ilvl w:val="3"/>
          <w:numId w:val="189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Maintenance dose: 0.4 to 1.5 g/kg in single or divided doses monthly</w:t>
      </w:r>
    </w:p>
    <w:p w14:paraId="5EC16B47" w14:textId="652C5581" w:rsidR="001B0964" w:rsidRPr="001B0964" w:rsidRDefault="001B0964" w:rsidP="00CA449A">
      <w:pPr>
        <w:numPr>
          <w:ilvl w:val="1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Pure red cell aplasia related to human parvovirus B19 infection, as indicated by </w:t>
      </w:r>
      <w:r w:rsidR="00CA449A" w:rsidRPr="001B0964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ALL</w:t>
      </w: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the following:</w:t>
      </w:r>
    </w:p>
    <w:p w14:paraId="3D3D5B82" w14:textId="77777777" w:rsidR="001B0964" w:rsidRPr="001B0964" w:rsidRDefault="001B0964" w:rsidP="00CA449A">
      <w:pPr>
        <w:numPr>
          <w:ilvl w:val="2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Severe refractory anemia associated with bone marrow suppression</w:t>
      </w:r>
    </w:p>
    <w:p w14:paraId="75EC6676" w14:textId="77777777" w:rsidR="001B0964" w:rsidRPr="001B0964" w:rsidRDefault="001B0964" w:rsidP="00CA449A">
      <w:pPr>
        <w:numPr>
          <w:ilvl w:val="2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Parvovirus B19 viremia</w:t>
      </w:r>
    </w:p>
    <w:p w14:paraId="0923ADB6" w14:textId="139562F6" w:rsidR="001B0964" w:rsidRPr="001B0964" w:rsidRDefault="001B0964" w:rsidP="00CA449A">
      <w:pPr>
        <w:numPr>
          <w:ilvl w:val="1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Allogenic hematopoietic stem cell transplantation, and </w:t>
      </w:r>
      <w:r w:rsidR="00CA449A" w:rsidRPr="001B0964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ALL</w:t>
      </w: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the following:</w:t>
      </w:r>
    </w:p>
    <w:p w14:paraId="38CBE7E0" w14:textId="5AFFE226" w:rsidR="001B0964" w:rsidRPr="001B0964" w:rsidRDefault="001B0964" w:rsidP="00CA449A">
      <w:pPr>
        <w:numPr>
          <w:ilvl w:val="2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Need to prevent </w:t>
      </w:r>
      <w:r w:rsidR="00FB7C80"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the risk</w:t>
      </w: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of acute graft-vs-host disease and associated interstitial pneumonia (infectious or idiopathic) and infections (</w:t>
      </w:r>
      <w:r w:rsidR="001E4AA2"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e.g.</w:t>
      </w: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, CMV infection, varicella-zoster virus infection, and recurrent bacterial infection)</w:t>
      </w:r>
    </w:p>
    <w:p w14:paraId="018B3E2B" w14:textId="77777777" w:rsidR="001B0964" w:rsidRPr="001B0964" w:rsidRDefault="001B0964" w:rsidP="00CA449A">
      <w:pPr>
        <w:numPr>
          <w:ilvl w:val="2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Patient 20 years of age or older</w:t>
      </w:r>
    </w:p>
    <w:p w14:paraId="55DC972A" w14:textId="5E1ADA1D" w:rsidR="001B0964" w:rsidRPr="001B0964" w:rsidRDefault="001B0964" w:rsidP="00CA449A">
      <w:pPr>
        <w:numPr>
          <w:ilvl w:val="2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No more than 100 days </w:t>
      </w:r>
      <w:r w:rsidR="00CA449A"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post-transplant</w:t>
      </w:r>
    </w:p>
    <w:p w14:paraId="0AA01229" w14:textId="472E6619" w:rsidR="001B0964" w:rsidRPr="001B0964" w:rsidRDefault="001B0964" w:rsidP="00CA449A">
      <w:pPr>
        <w:numPr>
          <w:ilvl w:val="2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Dosage meets </w:t>
      </w:r>
      <w:r w:rsidRPr="001B0964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1 or more</w:t>
      </w: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 of the following:</w:t>
      </w:r>
    </w:p>
    <w:p w14:paraId="39E55D0D" w14:textId="77777777" w:rsidR="001B0964" w:rsidRPr="001B0964" w:rsidRDefault="001B0964" w:rsidP="00CA449A">
      <w:pPr>
        <w:numPr>
          <w:ilvl w:val="3"/>
          <w:numId w:val="190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Pre-transplantation: 500 mg/kg body weight given on day -7</w:t>
      </w:r>
    </w:p>
    <w:p w14:paraId="2F2F915E" w14:textId="77777777" w:rsidR="001B0964" w:rsidRPr="001B0964" w:rsidRDefault="001B0964" w:rsidP="00CA449A">
      <w:pPr>
        <w:numPr>
          <w:ilvl w:val="3"/>
          <w:numId w:val="191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Pre-transplantation: 500 mg/kg body weight given on day -2</w:t>
      </w:r>
    </w:p>
    <w:p w14:paraId="4EE88E3A" w14:textId="77777777" w:rsidR="001B0964" w:rsidRPr="001B0964" w:rsidRDefault="001B0964" w:rsidP="00CA449A">
      <w:pPr>
        <w:numPr>
          <w:ilvl w:val="3"/>
          <w:numId w:val="192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Post-transplantation: 500 mg/kg body weight given weekly through day 90 post</w:t>
      </w:r>
    </w:p>
    <w:p w14:paraId="4AA5210F" w14:textId="6DF3BB92" w:rsidR="001B0964" w:rsidRPr="001B0964" w:rsidRDefault="001B0964" w:rsidP="00CA449A">
      <w:pPr>
        <w:numPr>
          <w:ilvl w:val="1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Secondary hypogammaglobulinemia</w:t>
      </w:r>
    </w:p>
    <w:p w14:paraId="3BF21C0F" w14:textId="08FB4067" w:rsidR="001B0964" w:rsidRPr="001B0964" w:rsidRDefault="001B0964" w:rsidP="00CA449A">
      <w:pPr>
        <w:numPr>
          <w:ilvl w:val="1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Chronic graft-vs-host disease (GVHD), and </w:t>
      </w:r>
      <w:r w:rsidR="00CA449A" w:rsidRPr="001B0964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ALL</w:t>
      </w: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the following:</w:t>
      </w:r>
    </w:p>
    <w:p w14:paraId="522B3C99" w14:textId="77777777" w:rsidR="001B0964" w:rsidRPr="001B0964" w:rsidRDefault="001B0964" w:rsidP="00CA449A">
      <w:pPr>
        <w:numPr>
          <w:ilvl w:val="2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Laboratory proven hypogammaglobulinemia with IgG levels &lt; 400 mg/dl</w:t>
      </w:r>
    </w:p>
    <w:p w14:paraId="5FC0888E" w14:textId="77777777" w:rsidR="001B0964" w:rsidRPr="001B0964" w:rsidRDefault="001B0964" w:rsidP="00CA449A">
      <w:pPr>
        <w:numPr>
          <w:ilvl w:val="2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At least one acute infection requiring hospitalization or parenteral antibiotics</w:t>
      </w:r>
    </w:p>
    <w:p w14:paraId="78439AA8" w14:textId="77777777" w:rsidR="001B0964" w:rsidRPr="001B0964" w:rsidRDefault="001B0964" w:rsidP="00CA449A">
      <w:pPr>
        <w:numPr>
          <w:ilvl w:val="2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Confirmed diagnosis of chronic GVHD</w:t>
      </w:r>
    </w:p>
    <w:p w14:paraId="54910E86" w14:textId="43B5E6B9" w:rsidR="001B0964" w:rsidRPr="001B0964" w:rsidRDefault="001B0964" w:rsidP="00CA449A">
      <w:pPr>
        <w:numPr>
          <w:ilvl w:val="2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At least 100 days </w:t>
      </w:r>
      <w:r w:rsidR="00CA449A"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post-transplant</w:t>
      </w:r>
    </w:p>
    <w:p w14:paraId="5BE70F4F" w14:textId="3673C40B" w:rsidR="001B0964" w:rsidRPr="001B0964" w:rsidRDefault="001B0964" w:rsidP="00CA449A">
      <w:pPr>
        <w:numPr>
          <w:ilvl w:val="1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Systemic lupus erythematosus, and </w:t>
      </w:r>
      <w:r w:rsidR="00CA449A" w:rsidRPr="001B0964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ALL</w:t>
      </w: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the following:</w:t>
      </w:r>
    </w:p>
    <w:p w14:paraId="4A43215D" w14:textId="77777777" w:rsidR="001B0964" w:rsidRPr="001B0964" w:rsidRDefault="001B0964" w:rsidP="00CA449A">
      <w:pPr>
        <w:numPr>
          <w:ilvl w:val="2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Severe active disease</w:t>
      </w:r>
    </w:p>
    <w:p w14:paraId="0C63DA8F" w14:textId="77777777" w:rsidR="001B0964" w:rsidRPr="001B0964" w:rsidRDefault="001B0964" w:rsidP="00CA449A">
      <w:pPr>
        <w:numPr>
          <w:ilvl w:val="2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Other interventions have been unsuccessful, have become intolerable, or are contraindicated</w:t>
      </w:r>
    </w:p>
    <w:p w14:paraId="6DC45765" w14:textId="0BA56D66" w:rsidR="001B0964" w:rsidRPr="001B0964" w:rsidRDefault="001B0964" w:rsidP="00CA449A">
      <w:pPr>
        <w:numPr>
          <w:ilvl w:val="1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Scleromyxedema</w:t>
      </w:r>
    </w:p>
    <w:p w14:paraId="2059A76B" w14:textId="3DE4007A" w:rsidR="001B0964" w:rsidRPr="001B0964" w:rsidRDefault="001B0964" w:rsidP="00CA449A">
      <w:pPr>
        <w:numPr>
          <w:ilvl w:val="1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Systemic capillary leak syndrome (Clarkson's disease), and </w:t>
      </w:r>
      <w:r w:rsidR="00CA449A" w:rsidRPr="001B0964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ALL</w:t>
      </w: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the following:</w:t>
      </w:r>
    </w:p>
    <w:p w14:paraId="2A7872BD" w14:textId="77777777" w:rsidR="001B0964" w:rsidRPr="001B0964" w:rsidRDefault="001B0964" w:rsidP="00CA449A">
      <w:pPr>
        <w:numPr>
          <w:ilvl w:val="2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Associated monoclonal gammopathy</w:t>
      </w:r>
    </w:p>
    <w:p w14:paraId="69D67F58" w14:textId="77777777" w:rsidR="001B0964" w:rsidRPr="001B0964" w:rsidRDefault="001B0964" w:rsidP="00CA449A">
      <w:pPr>
        <w:numPr>
          <w:ilvl w:val="2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IVIG for prophylaxis</w:t>
      </w:r>
    </w:p>
    <w:p w14:paraId="64E04622" w14:textId="44B23ED7" w:rsidR="001B0964" w:rsidRPr="001B0964" w:rsidRDefault="001B0964" w:rsidP="00CA449A">
      <w:pPr>
        <w:numPr>
          <w:ilvl w:val="1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Immune-mediated necrotizing myositis</w:t>
      </w:r>
    </w:p>
    <w:p w14:paraId="0AEF672A" w14:textId="05219EC4" w:rsidR="001B0964" w:rsidRPr="001B0964" w:rsidRDefault="001B0964" w:rsidP="00CA449A">
      <w:pPr>
        <w:numPr>
          <w:ilvl w:val="0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Off-Label Use of Intravenous Immune Globulin (IVIG) is </w:t>
      </w:r>
      <w:r w:rsidRPr="001B0964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NOT COVERED</w:t>
      </w: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 for </w:t>
      </w:r>
      <w:r w:rsidRPr="001B0964"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  <w:t>ANY</w:t>
      </w: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 of the following:</w:t>
      </w:r>
    </w:p>
    <w:p w14:paraId="1D555D73" w14:textId="6EDB6E5E" w:rsidR="001B0964" w:rsidRPr="001B0964" w:rsidRDefault="001B0964" w:rsidP="00CA449A">
      <w:pPr>
        <w:numPr>
          <w:ilvl w:val="1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Allogenic hematopoietic stem cell transplantation in </w:t>
      </w:r>
      <w:r w:rsidR="00CA449A"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patients</w:t>
      </w: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younger than 20 years of age</w:t>
      </w:r>
    </w:p>
    <w:p w14:paraId="6EEEB82D" w14:textId="77777777" w:rsidR="001B0964" w:rsidRPr="001B0964" w:rsidRDefault="001B0964" w:rsidP="00CA449A">
      <w:pPr>
        <w:numPr>
          <w:ilvl w:val="1"/>
          <w:numId w:val="187"/>
        </w:numPr>
        <w:spacing w:after="0" w:line="240" w:lineRule="auto"/>
        <w:rPr>
          <w:rFonts w:ascii="Futura" w:eastAsia="Calibri" w:hAnsi="Futura" w:cs="Calibri"/>
          <w:color w:val="000000"/>
          <w:sz w:val="20"/>
          <w:szCs w:val="20"/>
          <w:lang w:bidi="en-US"/>
        </w:rPr>
      </w:pPr>
      <w:r w:rsidRPr="001B0964">
        <w:rPr>
          <w:rFonts w:ascii="Futura" w:eastAsia="Calibri" w:hAnsi="Futura" w:cs="Calibri"/>
          <w:color w:val="000000"/>
          <w:sz w:val="20"/>
          <w:szCs w:val="20"/>
          <w:lang w:bidi="en-US"/>
        </w:rPr>
        <w:t>Autologous hematopoietic stem cell transplant</w:t>
      </w:r>
    </w:p>
    <w:p w14:paraId="6C1DA1F6" w14:textId="77777777" w:rsidR="00DE0A0D" w:rsidRDefault="00DE0A0D" w:rsidP="00320403">
      <w:p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</w:p>
    <w:p w14:paraId="540D9AD8" w14:textId="77777777" w:rsidR="001E1F03" w:rsidRDefault="001E1F03" w:rsidP="00320403">
      <w:p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</w:p>
    <w:p w14:paraId="23BC81C4" w14:textId="77777777" w:rsidR="001E1F03" w:rsidRDefault="001E1F03" w:rsidP="00320403">
      <w:p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</w:p>
    <w:p w14:paraId="32D526D0" w14:textId="77777777" w:rsidR="001E1F03" w:rsidRDefault="001E1F03" w:rsidP="00320403">
      <w:p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</w:p>
    <w:p w14:paraId="222734C4" w14:textId="77777777" w:rsidR="001E1F03" w:rsidRDefault="001E1F03" w:rsidP="00320403">
      <w:p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</w:p>
    <w:p w14:paraId="493E20BE" w14:textId="77777777" w:rsidR="001E1F03" w:rsidRDefault="001E1F03" w:rsidP="00320403">
      <w:p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</w:p>
    <w:p w14:paraId="08068DBB" w14:textId="6B28279F" w:rsidR="00542D9D" w:rsidRPr="00C96407" w:rsidRDefault="009C2524" w:rsidP="00320403">
      <w:pPr>
        <w:spacing w:after="0" w:line="240" w:lineRule="auto"/>
        <w:rPr>
          <w:rFonts w:ascii="Futura" w:hAnsi="Futura"/>
          <w:sz w:val="24"/>
          <w:szCs w:val="24"/>
        </w:rPr>
      </w:pPr>
      <w:r w:rsidRPr="00C96407">
        <w:rPr>
          <w:rFonts w:ascii="Futura" w:hAnsi="Futura"/>
          <w:b/>
          <w:bCs/>
          <w:sz w:val="24"/>
          <w:szCs w:val="24"/>
        </w:rPr>
        <w:lastRenderedPageBreak/>
        <w:t>I</w:t>
      </w:r>
      <w:r w:rsidR="00DC1B0C" w:rsidRPr="00C96407">
        <w:rPr>
          <w:rFonts w:ascii="Futura" w:hAnsi="Futura"/>
          <w:b/>
          <w:bCs/>
          <w:sz w:val="24"/>
          <w:szCs w:val="24"/>
        </w:rPr>
        <w:t>nitial authorization</w:t>
      </w:r>
      <w:r w:rsidR="00DC1B0C" w:rsidRPr="00C96407">
        <w:rPr>
          <w:rFonts w:ascii="Futura" w:hAnsi="Futura"/>
          <w:sz w:val="24"/>
          <w:szCs w:val="24"/>
        </w:rPr>
        <w:t xml:space="preserve">: Length requested, </w:t>
      </w:r>
      <w:r w:rsidR="00B8376A" w:rsidRPr="00C96407">
        <w:rPr>
          <w:rFonts w:ascii="Futura" w:hAnsi="Futura"/>
          <w:sz w:val="24"/>
          <w:szCs w:val="24"/>
        </w:rPr>
        <w:t>length specified in the indication above (if applicable), or 12 months, whichever is shortest</w:t>
      </w:r>
    </w:p>
    <w:p w14:paraId="4C701B58" w14:textId="77777777" w:rsidR="00B8376A" w:rsidRPr="00C96407" w:rsidRDefault="00B8376A" w:rsidP="00320403">
      <w:pPr>
        <w:spacing w:after="0" w:line="240" w:lineRule="auto"/>
        <w:rPr>
          <w:rFonts w:ascii="Futura" w:hAnsi="Futura"/>
          <w:sz w:val="24"/>
          <w:szCs w:val="24"/>
        </w:rPr>
      </w:pPr>
    </w:p>
    <w:p w14:paraId="40EDAC36" w14:textId="5163999F" w:rsidR="00B8376A" w:rsidRPr="00C96407" w:rsidRDefault="00B8376A" w:rsidP="00320403">
      <w:pPr>
        <w:spacing w:after="0" w:line="240" w:lineRule="auto"/>
        <w:rPr>
          <w:rFonts w:ascii="Futura" w:hAnsi="Futura"/>
          <w:sz w:val="24"/>
          <w:szCs w:val="24"/>
        </w:rPr>
      </w:pPr>
      <w:r w:rsidRPr="00C96407">
        <w:rPr>
          <w:rFonts w:ascii="Futura" w:hAnsi="Futura"/>
          <w:b/>
          <w:bCs/>
          <w:sz w:val="24"/>
          <w:szCs w:val="24"/>
        </w:rPr>
        <w:t>Reauthorization</w:t>
      </w:r>
      <w:r w:rsidRPr="00C96407">
        <w:rPr>
          <w:rFonts w:ascii="Futura" w:hAnsi="Futura"/>
          <w:sz w:val="24"/>
          <w:szCs w:val="24"/>
        </w:rPr>
        <w:t xml:space="preserve">: </w:t>
      </w:r>
      <w:r w:rsidR="00C96407" w:rsidRPr="00C96407">
        <w:rPr>
          <w:rFonts w:ascii="Futura" w:hAnsi="Futura"/>
          <w:sz w:val="24"/>
          <w:szCs w:val="24"/>
        </w:rPr>
        <w:t>Length requested, length specified in the indication above (if applicable), or 12 months, whichever is shortest</w:t>
      </w:r>
    </w:p>
    <w:p w14:paraId="0323F364" w14:textId="77777777" w:rsidR="00C96407" w:rsidRDefault="00C96407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6080660B" w14:textId="062258A2" w:rsidR="00320403" w:rsidRDefault="00CD2097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>Exception Criteria</w:t>
      </w:r>
      <w:r w:rsidR="00320403">
        <w:rPr>
          <w:rFonts w:ascii="Futura" w:hAnsi="Futura"/>
          <w:b/>
          <w:bCs/>
          <w:color w:val="00AEDB"/>
          <w:sz w:val="24"/>
          <w:szCs w:val="24"/>
        </w:rPr>
        <w:t>:</w:t>
      </w:r>
    </w:p>
    <w:p w14:paraId="58F1F639" w14:textId="77777777" w:rsidR="00C3149B" w:rsidRDefault="00C3149B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11702901" w14:textId="0DC5A27F" w:rsidR="005C3DC3" w:rsidRDefault="00F95A1F" w:rsidP="00F41B3A">
      <w:pPr>
        <w:pStyle w:val="ListParagraph"/>
        <w:numPr>
          <w:ilvl w:val="0"/>
          <w:numId w:val="3"/>
        </w:numPr>
        <w:spacing w:after="0" w:line="240" w:lineRule="auto"/>
        <w:rPr>
          <w:rFonts w:ascii="Futura" w:hAnsi="Futura"/>
          <w:sz w:val="24"/>
          <w:szCs w:val="24"/>
        </w:rPr>
      </w:pPr>
      <w:r>
        <w:rPr>
          <w:rFonts w:ascii="Futura" w:hAnsi="Futura"/>
          <w:sz w:val="24"/>
          <w:szCs w:val="24"/>
        </w:rPr>
        <w:t>Exception</w:t>
      </w:r>
      <w:r w:rsidR="00705F98">
        <w:rPr>
          <w:rFonts w:ascii="Futura" w:hAnsi="Futura"/>
          <w:sz w:val="24"/>
          <w:szCs w:val="24"/>
        </w:rPr>
        <w:t xml:space="preserve">s may need to be reviewed on multiple levels depending on the agent requested: </w:t>
      </w:r>
      <w:r w:rsidR="006C2777">
        <w:rPr>
          <w:rFonts w:ascii="Futura" w:hAnsi="Futura"/>
          <w:sz w:val="24"/>
          <w:szCs w:val="24"/>
        </w:rPr>
        <w:t xml:space="preserve">documentation of inadequate response, contraindication, adverse event or otherwise must be demonstrated for a </w:t>
      </w:r>
      <w:r w:rsidR="00997735">
        <w:rPr>
          <w:rFonts w:ascii="Futura" w:hAnsi="Futura"/>
          <w:sz w:val="24"/>
          <w:szCs w:val="24"/>
        </w:rPr>
        <w:t>preferred</w:t>
      </w:r>
      <w:r w:rsidR="006C2777">
        <w:rPr>
          <w:rFonts w:ascii="Futura" w:hAnsi="Futura"/>
          <w:sz w:val="24"/>
          <w:szCs w:val="24"/>
        </w:rPr>
        <w:t xml:space="preserve"> agent if request</w:t>
      </w:r>
      <w:r w:rsidR="00997735">
        <w:rPr>
          <w:rFonts w:ascii="Futura" w:hAnsi="Futura"/>
          <w:sz w:val="24"/>
          <w:szCs w:val="24"/>
        </w:rPr>
        <w:t xml:space="preserve">ing a secondary agent, and for </w:t>
      </w:r>
      <w:r w:rsidR="00AB6317">
        <w:rPr>
          <w:rFonts w:ascii="Futura" w:hAnsi="Futura"/>
          <w:sz w:val="24"/>
          <w:szCs w:val="24"/>
        </w:rPr>
        <w:t>preferred</w:t>
      </w:r>
      <w:r w:rsidR="00997735">
        <w:rPr>
          <w:rFonts w:ascii="Futura" w:hAnsi="Futura"/>
          <w:sz w:val="24"/>
          <w:szCs w:val="24"/>
        </w:rPr>
        <w:t xml:space="preserve"> and second</w:t>
      </w:r>
      <w:r w:rsidR="00AB6317">
        <w:rPr>
          <w:rFonts w:ascii="Futura" w:hAnsi="Futura"/>
          <w:sz w:val="24"/>
          <w:szCs w:val="24"/>
        </w:rPr>
        <w:t>ary agents if requesting a tertiary agent.</w:t>
      </w:r>
    </w:p>
    <w:p w14:paraId="6111E178" w14:textId="17EB5048" w:rsidR="0072503A" w:rsidRDefault="00002541" w:rsidP="00F41B3A">
      <w:pPr>
        <w:pStyle w:val="ListParagraph"/>
        <w:numPr>
          <w:ilvl w:val="0"/>
          <w:numId w:val="3"/>
        </w:numPr>
        <w:spacing w:after="0" w:line="240" w:lineRule="auto"/>
        <w:rPr>
          <w:rFonts w:ascii="Futura" w:hAnsi="Futura"/>
          <w:sz w:val="24"/>
          <w:szCs w:val="24"/>
        </w:rPr>
      </w:pPr>
      <w:r>
        <w:rPr>
          <w:rFonts w:ascii="Futura" w:hAnsi="Futura"/>
          <w:sz w:val="24"/>
          <w:szCs w:val="24"/>
        </w:rPr>
        <w:t xml:space="preserve">Coverage for a secondary or tertiary agent will be considered if </w:t>
      </w:r>
      <w:r w:rsidR="00EF0772">
        <w:rPr>
          <w:rFonts w:ascii="Futura" w:hAnsi="Futura"/>
          <w:sz w:val="24"/>
          <w:szCs w:val="24"/>
        </w:rPr>
        <w:t xml:space="preserve">there is documentation of a continuation of therapy </w:t>
      </w:r>
      <w:r w:rsidR="0072503A">
        <w:rPr>
          <w:rFonts w:ascii="Futura" w:hAnsi="Futura"/>
          <w:sz w:val="24"/>
          <w:szCs w:val="24"/>
        </w:rPr>
        <w:t xml:space="preserve">within the past </w:t>
      </w:r>
      <w:r w:rsidR="00BE653B">
        <w:rPr>
          <w:rFonts w:ascii="Futura" w:hAnsi="Futura"/>
          <w:sz w:val="24"/>
          <w:szCs w:val="24"/>
        </w:rPr>
        <w:t>365</w:t>
      </w:r>
      <w:r w:rsidR="0072503A">
        <w:rPr>
          <w:rFonts w:ascii="Futura" w:hAnsi="Futura"/>
          <w:sz w:val="24"/>
          <w:szCs w:val="24"/>
        </w:rPr>
        <w:t xml:space="preserve"> days (if new) or if it is a reauthorization request.</w:t>
      </w:r>
    </w:p>
    <w:p w14:paraId="2CB2D8D3" w14:textId="54745ADE" w:rsidR="00856D17" w:rsidRDefault="00856D17" w:rsidP="00F41B3A">
      <w:pPr>
        <w:pStyle w:val="ListParagraph"/>
        <w:numPr>
          <w:ilvl w:val="0"/>
          <w:numId w:val="3"/>
        </w:numPr>
        <w:spacing w:after="0" w:line="240" w:lineRule="auto"/>
        <w:rPr>
          <w:rFonts w:ascii="Futura" w:hAnsi="Futura"/>
          <w:sz w:val="24"/>
          <w:szCs w:val="24"/>
        </w:rPr>
      </w:pPr>
      <w:r>
        <w:rPr>
          <w:rFonts w:ascii="Futura" w:hAnsi="Futura"/>
          <w:sz w:val="24"/>
          <w:szCs w:val="24"/>
        </w:rPr>
        <w:t xml:space="preserve">In either of the above situations, the product </w:t>
      </w:r>
      <w:r w:rsidR="009A5611">
        <w:rPr>
          <w:rFonts w:ascii="Futura" w:hAnsi="Futura"/>
          <w:sz w:val="24"/>
          <w:szCs w:val="24"/>
        </w:rPr>
        <w:t xml:space="preserve">being used cannot be based on </w:t>
      </w:r>
      <w:r w:rsidR="00CA449A">
        <w:rPr>
          <w:rFonts w:ascii="Futura" w:hAnsi="Futura"/>
          <w:sz w:val="24"/>
          <w:szCs w:val="24"/>
        </w:rPr>
        <w:t>the use</w:t>
      </w:r>
      <w:r w:rsidR="009A5611">
        <w:rPr>
          <w:rFonts w:ascii="Futura" w:hAnsi="Futura"/>
          <w:sz w:val="24"/>
          <w:szCs w:val="24"/>
        </w:rPr>
        <w:t xml:space="preserve"> of samples or products provided through manufacturer patient assistance programs.</w:t>
      </w:r>
    </w:p>
    <w:p w14:paraId="55CF9D8D" w14:textId="77777777" w:rsidR="00CD2097" w:rsidRDefault="00CD2097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4577D0A3" w14:textId="0559CE67" w:rsidR="00320403" w:rsidRDefault="00320403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  <w:r>
        <w:rPr>
          <w:rFonts w:ascii="Futura" w:hAnsi="Futura"/>
          <w:b/>
          <w:bCs/>
          <w:color w:val="00AEDB"/>
          <w:sz w:val="24"/>
          <w:szCs w:val="24"/>
        </w:rPr>
        <w:t xml:space="preserve">Reference(s): </w:t>
      </w:r>
    </w:p>
    <w:p w14:paraId="208BE092" w14:textId="77777777" w:rsidR="00320403" w:rsidRDefault="00320403" w:rsidP="00320403">
      <w:pPr>
        <w:spacing w:after="0"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p w14:paraId="1C7FF203" w14:textId="244954FA" w:rsidR="00C70439" w:rsidRPr="00C70439" w:rsidRDefault="005442D5" w:rsidP="00794322">
      <w:pPr>
        <w:pStyle w:val="ListParagraph"/>
        <w:numPr>
          <w:ilvl w:val="0"/>
          <w:numId w:val="1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Intravenous Immune Globulin-Policy article</w:t>
      </w:r>
      <w:r w:rsidR="005A7676"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 A52509</w:t>
      </w: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.  </w:t>
      </w:r>
      <w:hyperlink r:id="rId11" w:history="1">
        <w:r w:rsidR="008F50AC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https://www.cms.gov/medicare-coverage-database/view/article.aspx?articleid=52509&amp;ver=56&amp;keyword=immune%20globulin&amp;keywordType=starts&amp;areaId=all&amp;docType=NCA,CAL,NCD,MEDCAC,TA,MCD,6,3,5,1,F,P&amp;contractOption=all&amp;sortBy=updated&amp;bc=1</w:t>
        </w:r>
      </w:hyperlink>
    </w:p>
    <w:p w14:paraId="598AAF97" w14:textId="692FC645" w:rsidR="008F50AC" w:rsidRPr="008F50AC" w:rsidRDefault="008F50AC" w:rsidP="00F41B3A">
      <w:pPr>
        <w:pStyle w:val="ListParagraph"/>
        <w:numPr>
          <w:ilvl w:val="0"/>
          <w:numId w:val="1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>Intravenous Immune Globulin</w:t>
      </w:r>
      <w:r w:rsidR="007F3EE0">
        <w:rPr>
          <w:rFonts w:ascii="Futura" w:eastAsia="Calibri" w:hAnsi="Futura" w:cs="Calibri"/>
          <w:color w:val="000000"/>
          <w:sz w:val="20"/>
          <w:szCs w:val="20"/>
          <w:lang w:bidi="en-US"/>
        </w:rPr>
        <w:t>-LCD 33610</w:t>
      </w: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.  </w:t>
      </w:r>
      <w:hyperlink r:id="rId12" w:history="1">
        <w:r w:rsidR="007F3EE0"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https://www.cms.gov/medicare-coverage-database/view/lcd.aspx?lcdid=33610&amp;ver=61&amp;keyword=immune%20globulin&amp;keywordType=starts&amp;areaId=all&amp;docType=NCA,CAL,NCD,MEDCAC,TA,MCD,6,3,5,1,F,P&amp;contractOption=all&amp;sortBy=updated&amp;bc=1</w:t>
        </w:r>
      </w:hyperlink>
    </w:p>
    <w:p w14:paraId="2A62542D" w14:textId="2266B717" w:rsidR="00FA7C17" w:rsidRPr="00F64756" w:rsidRDefault="00F64756" w:rsidP="00F41B3A">
      <w:pPr>
        <w:pStyle w:val="ListParagraph"/>
        <w:numPr>
          <w:ilvl w:val="0"/>
          <w:numId w:val="1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eternalHealth Medicare Part B Prior Authorization List.  </w:t>
      </w:r>
      <w:hyperlink r:id="rId13" w:history="1">
        <w:r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https://www.eternalhealth.com/wp-content/uploads/2022/10/eternalHealth_MA-Part-B-PA-List-eff-1-1-2025.pdf</w:t>
        </w:r>
      </w:hyperlink>
    </w:p>
    <w:p w14:paraId="55401300" w14:textId="177C702B" w:rsidR="00A46203" w:rsidRPr="00AA09A0" w:rsidRDefault="00F45E5D" w:rsidP="00F41B3A">
      <w:pPr>
        <w:pStyle w:val="ListParagraph"/>
        <w:numPr>
          <w:ilvl w:val="0"/>
          <w:numId w:val="1"/>
        </w:numPr>
        <w:spacing w:after="0" w:line="240" w:lineRule="auto"/>
        <w:rPr>
          <w:rFonts w:ascii="Futura" w:eastAsia="Calibri" w:hAnsi="Futura" w:cs="Calibri"/>
          <w:b/>
          <w:bCs/>
          <w:color w:val="000000"/>
          <w:sz w:val="20"/>
          <w:szCs w:val="20"/>
          <w:lang w:bidi="en-US"/>
        </w:rPr>
      </w:pPr>
      <w:r>
        <w:rPr>
          <w:rFonts w:ascii="Futura" w:eastAsia="Calibri" w:hAnsi="Futura" w:cs="Calibri"/>
          <w:color w:val="000000"/>
          <w:sz w:val="20"/>
          <w:szCs w:val="20"/>
          <w:lang w:bidi="en-US"/>
        </w:rPr>
        <w:t xml:space="preserve">CMS ASP Pricing Files.  </w:t>
      </w:r>
      <w:hyperlink r:id="rId14" w:history="1">
        <w:r>
          <w:rPr>
            <w:rStyle w:val="Hyperlink"/>
            <w:rFonts w:ascii="Futura" w:eastAsia="Calibri" w:hAnsi="Futura" w:cs="Calibri"/>
            <w:sz w:val="20"/>
            <w:szCs w:val="20"/>
            <w:lang w:bidi="en-US"/>
          </w:rPr>
          <w:t>https://www.cms.gov/medicare/payment/part-b-drugs/asp-pricing-files</w:t>
        </w:r>
      </w:hyperlink>
    </w:p>
    <w:p w14:paraId="717ACA0E" w14:textId="0FC644FC" w:rsidR="000D5D23" w:rsidRPr="00171CC3" w:rsidRDefault="000D5D23" w:rsidP="00320403">
      <w:pPr>
        <w:widowControl w:val="0"/>
        <w:autoSpaceDE w:val="0"/>
        <w:autoSpaceDN w:val="0"/>
        <w:spacing w:line="240" w:lineRule="auto"/>
        <w:rPr>
          <w:rFonts w:ascii="Futura" w:hAnsi="Futura"/>
          <w:b/>
          <w:bCs/>
          <w:color w:val="00AEDB"/>
          <w:sz w:val="24"/>
          <w:szCs w:val="24"/>
        </w:rPr>
      </w:pPr>
    </w:p>
    <w:sectPr w:rsidR="000D5D23" w:rsidRPr="00171CC3" w:rsidSect="00CB0ED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3113"/>
    <w:multiLevelType w:val="multilevel"/>
    <w:tmpl w:val="E6AE41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C04AA"/>
    <w:multiLevelType w:val="multilevel"/>
    <w:tmpl w:val="527230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D249D"/>
    <w:multiLevelType w:val="multilevel"/>
    <w:tmpl w:val="AFFE59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67888"/>
    <w:multiLevelType w:val="hybridMultilevel"/>
    <w:tmpl w:val="86DAB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F26E8"/>
    <w:multiLevelType w:val="hybridMultilevel"/>
    <w:tmpl w:val="D1041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4338D"/>
    <w:multiLevelType w:val="multilevel"/>
    <w:tmpl w:val="C75A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87815"/>
    <w:multiLevelType w:val="multilevel"/>
    <w:tmpl w:val="02E8EE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136BA"/>
    <w:multiLevelType w:val="multilevel"/>
    <w:tmpl w:val="6D2479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E15F3"/>
    <w:multiLevelType w:val="multilevel"/>
    <w:tmpl w:val="8892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830E3"/>
    <w:multiLevelType w:val="multilevel"/>
    <w:tmpl w:val="71F4FA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E13D16"/>
    <w:multiLevelType w:val="multilevel"/>
    <w:tmpl w:val="7AA8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E31E1"/>
    <w:multiLevelType w:val="multilevel"/>
    <w:tmpl w:val="9CC6E2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D72D6D"/>
    <w:multiLevelType w:val="hybridMultilevel"/>
    <w:tmpl w:val="D5DCD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F6B5F"/>
    <w:multiLevelType w:val="hybridMultilevel"/>
    <w:tmpl w:val="E640E7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0A72CF"/>
    <w:multiLevelType w:val="multilevel"/>
    <w:tmpl w:val="9ED6F9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184357"/>
    <w:multiLevelType w:val="multilevel"/>
    <w:tmpl w:val="49DAAC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D33F0F"/>
    <w:multiLevelType w:val="multilevel"/>
    <w:tmpl w:val="B6B262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B675B8"/>
    <w:multiLevelType w:val="multilevel"/>
    <w:tmpl w:val="E8D2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AA78F0"/>
    <w:multiLevelType w:val="multilevel"/>
    <w:tmpl w:val="C6CC0D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EC6295"/>
    <w:multiLevelType w:val="multilevel"/>
    <w:tmpl w:val="952AD9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9C6613"/>
    <w:multiLevelType w:val="multilevel"/>
    <w:tmpl w:val="7BA611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8D6997"/>
    <w:multiLevelType w:val="multilevel"/>
    <w:tmpl w:val="0AE06C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044F51"/>
    <w:multiLevelType w:val="multilevel"/>
    <w:tmpl w:val="1B62EA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265964">
    <w:abstractNumId w:val="3"/>
  </w:num>
  <w:num w:numId="2" w16cid:durableId="31996377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197693514">
    <w:abstractNumId w:val="4"/>
  </w:num>
  <w:num w:numId="4" w16cid:durableId="1222404301">
    <w:abstractNumId w:val="5"/>
  </w:num>
  <w:num w:numId="5" w16cid:durableId="747456935">
    <w:abstractNumId w:val="17"/>
  </w:num>
  <w:num w:numId="6" w16cid:durableId="281763592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7" w16cid:durableId="1948345487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8" w16cid:durableId="564293512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9" w16cid:durableId="541406582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0" w16cid:durableId="1485705471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11" w16cid:durableId="483159945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2" w16cid:durableId="1561624443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3" w16cid:durableId="2029331391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4" w16cid:durableId="305622501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5" w16cid:durableId="1256281693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6" w16cid:durableId="1443307924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7" w16cid:durableId="704406581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8" w16cid:durableId="973750384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9" w16cid:durableId="1121606951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20" w16cid:durableId="561914342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21" w16cid:durableId="1118718133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22" w16cid:durableId="1313296227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23" w16cid:durableId="682902056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24" w16cid:durableId="917248451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25" w16cid:durableId="863397622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26" w16cid:durableId="1866674192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27" w16cid:durableId="539634291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28" w16cid:durableId="411776965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29" w16cid:durableId="73209432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30" w16cid:durableId="1287616386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31" w16cid:durableId="643119948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2" w16cid:durableId="1183857837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33" w16cid:durableId="1055158035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34" w16cid:durableId="1015381429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35" w16cid:durableId="1045712040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36" w16cid:durableId="2085057287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37" w16cid:durableId="1555854377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38" w16cid:durableId="773092624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39" w16cid:durableId="1065954769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40" w16cid:durableId="510800409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41" w16cid:durableId="946699895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42" w16cid:durableId="2049645122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43" w16cid:durableId="715473559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44" w16cid:durableId="741833627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45" w16cid:durableId="1874145130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46" w16cid:durableId="1046878719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7" w16cid:durableId="1328509720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48" w16cid:durableId="1789813190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49" w16cid:durableId="6294891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50" w16cid:durableId="850335082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51" w16cid:durableId="1903321686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52" w16cid:durableId="904685467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53" w16cid:durableId="1970356907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54" w16cid:durableId="1554074097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55" w16cid:durableId="1504010153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56" w16cid:durableId="2110541598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57" w16cid:durableId="125778602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58" w16cid:durableId="1174759452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59" w16cid:durableId="1002318119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60" w16cid:durableId="1019625556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61" w16cid:durableId="520239741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62" w16cid:durableId="109320772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63" w16cid:durableId="848904785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64" w16cid:durableId="650251254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65" w16cid:durableId="1850413125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66" w16cid:durableId="2130195327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67" w16cid:durableId="666330194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68" w16cid:durableId="1649506688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69" w16cid:durableId="276258371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70" w16cid:durableId="93208005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71" w16cid:durableId="1553881943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72" w16cid:durableId="1249266658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73" w16cid:durableId="871726663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74" w16cid:durableId="1910267626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75" w16cid:durableId="1123765072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76" w16cid:durableId="2043744795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77" w16cid:durableId="1875389062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78" w16cid:durableId="9331792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79" w16cid:durableId="1568685685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80" w16cid:durableId="1509179801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81" w16cid:durableId="10642834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82" w16cid:durableId="1641113592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83" w16cid:durableId="724639507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84" w16cid:durableId="1409352147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85" w16cid:durableId="183178567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86" w16cid:durableId="2067532829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87" w16cid:durableId="694968396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88" w16cid:durableId="1272398093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89" w16cid:durableId="700059670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90" w16cid:durableId="1743528962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91" w16cid:durableId="2110736084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92" w16cid:durableId="844133050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93" w16cid:durableId="1271398722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94" w16cid:durableId="784345725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95" w16cid:durableId="790976513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96" w16cid:durableId="1939101420">
    <w:abstractNumId w:val="1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97" w16cid:durableId="2005934556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98" w16cid:durableId="461660082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99" w16cid:durableId="1958366623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100" w16cid:durableId="127820267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101" w16cid:durableId="1172066431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02" w16cid:durableId="2038844779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03" w16cid:durableId="219052026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04" w16cid:durableId="1762410643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05" w16cid:durableId="694233538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06" w16cid:durableId="497818053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07" w16cid:durableId="313880641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08" w16cid:durableId="1174951799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09" w16cid:durableId="2086682379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10" w16cid:durableId="85928609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11" w16cid:durableId="1346319959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12" w16cid:durableId="1336303045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13" w16cid:durableId="174610873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14" w16cid:durableId="836925397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15" w16cid:durableId="133178950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16" w16cid:durableId="884489499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17" w16cid:durableId="384766351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18" w16cid:durableId="187498593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19" w16cid:durableId="138306735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20" w16cid:durableId="1286036905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21" w16cid:durableId="1189300146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22" w16cid:durableId="811600180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23" w16cid:durableId="1433429651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24" w16cid:durableId="345718502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25" w16cid:durableId="1006829632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26" w16cid:durableId="2034569026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27" w16cid:durableId="797534665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28" w16cid:durableId="1967739191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29" w16cid:durableId="770011944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30" w16cid:durableId="1283807288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131" w16cid:durableId="1092049748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32" w16cid:durableId="1272321126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33" w16cid:durableId="49038149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34" w16cid:durableId="480461601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35" w16cid:durableId="1897426812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36" w16cid:durableId="2018920632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37" w16cid:durableId="528491234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38" w16cid:durableId="105010008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39" w16cid:durableId="1276015170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40" w16cid:durableId="145754533">
    <w:abstractNumId w:val="14"/>
  </w:num>
  <w:num w:numId="141" w16cid:durableId="865560359">
    <w:abstractNumId w:val="7"/>
  </w:num>
  <w:num w:numId="142" w16cid:durableId="921723379">
    <w:abstractNumId w:val="2"/>
  </w:num>
  <w:num w:numId="143" w16cid:durableId="769811320">
    <w:abstractNumId w:val="20"/>
  </w:num>
  <w:num w:numId="144" w16cid:durableId="333190095">
    <w:abstractNumId w:val="15"/>
  </w:num>
  <w:num w:numId="145" w16cid:durableId="685446567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46" w16cid:durableId="1125125455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147" w16cid:durableId="32928668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148" w16cid:durableId="1915046250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49" w16cid:durableId="1776175187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50" w16cid:durableId="46343612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51" w16cid:durableId="732851187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52" w16cid:durableId="449670114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53" w16cid:durableId="777262440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54" w16cid:durableId="1802842765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55" w16cid:durableId="1652321603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56" w16cid:durableId="162430885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57" w16cid:durableId="1667510181">
    <w:abstractNumId w:val="18"/>
  </w:num>
  <w:num w:numId="158" w16cid:durableId="920333094">
    <w:abstractNumId w:val="1"/>
  </w:num>
  <w:num w:numId="159" w16cid:durableId="441412949">
    <w:abstractNumId w:val="6"/>
  </w:num>
  <w:num w:numId="160" w16cid:durableId="1101607467">
    <w:abstractNumId w:val="9"/>
  </w:num>
  <w:num w:numId="161" w16cid:durableId="142429395">
    <w:abstractNumId w:val="16"/>
  </w:num>
  <w:num w:numId="162" w16cid:durableId="1145777247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63" w16cid:durableId="792751415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164" w16cid:durableId="1091462982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165" w16cid:durableId="1977639238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66" w16cid:durableId="529876717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67" w16cid:durableId="1160735707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68" w16cid:durableId="1507204353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69" w16cid:durableId="439379256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70" w16cid:durableId="1936280038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71" w16cid:durableId="1731029302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72" w16cid:durableId="406272100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73" w16cid:durableId="201750559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</w:num>
  <w:num w:numId="174" w16cid:durableId="185874775">
    <w:abstractNumId w:val="22"/>
  </w:num>
  <w:num w:numId="175" w16cid:durableId="1061296003">
    <w:abstractNumId w:val="21"/>
  </w:num>
  <w:num w:numId="176" w16cid:durableId="2041927167">
    <w:abstractNumId w:val="11"/>
  </w:num>
  <w:num w:numId="177" w16cid:durableId="2008248153">
    <w:abstractNumId w:val="19"/>
  </w:num>
  <w:num w:numId="178" w16cid:durableId="1591036945">
    <w:abstractNumId w:val="0"/>
  </w:num>
  <w:num w:numId="179" w16cid:durableId="2069917590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</w:num>
  <w:num w:numId="180" w16cid:durableId="1944914581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181" w16cid:durableId="837421956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182" w16cid:durableId="1333751629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183" w16cid:durableId="2099985622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184" w16cid:durableId="533546021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185" w16cid:durableId="776174458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186" w16cid:durableId="803888911">
    <w:abstractNumId w:val="17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187" w16cid:durableId="701831093">
    <w:abstractNumId w:val="10"/>
  </w:num>
  <w:num w:numId="188" w16cid:durableId="1491018316">
    <w:abstractNumId w:val="1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89" w16cid:durableId="899100072">
    <w:abstractNumId w:val="1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90" w16cid:durableId="1577202558">
    <w:abstractNumId w:val="1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91" w16cid:durableId="1795248223">
    <w:abstractNumId w:val="1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92" w16cid:durableId="1504469547">
    <w:abstractNumId w:val="1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93" w16cid:durableId="32778460">
    <w:abstractNumId w:val="13"/>
  </w:num>
  <w:num w:numId="194" w16cid:durableId="1809589174">
    <w:abstractNumId w:val="12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C3"/>
    <w:rsid w:val="00000289"/>
    <w:rsid w:val="00002194"/>
    <w:rsid w:val="00002541"/>
    <w:rsid w:val="00006F2B"/>
    <w:rsid w:val="0001616D"/>
    <w:rsid w:val="000216B1"/>
    <w:rsid w:val="00034E3F"/>
    <w:rsid w:val="00050288"/>
    <w:rsid w:val="0005293D"/>
    <w:rsid w:val="00055090"/>
    <w:rsid w:val="00070C3E"/>
    <w:rsid w:val="00084B4D"/>
    <w:rsid w:val="00087AC4"/>
    <w:rsid w:val="000951BF"/>
    <w:rsid w:val="00095439"/>
    <w:rsid w:val="000A72D9"/>
    <w:rsid w:val="000B1B0F"/>
    <w:rsid w:val="000C7E39"/>
    <w:rsid w:val="000D5D23"/>
    <w:rsid w:val="000E48B4"/>
    <w:rsid w:val="000E7A68"/>
    <w:rsid w:val="000F0644"/>
    <w:rsid w:val="000F5645"/>
    <w:rsid w:val="0010271C"/>
    <w:rsid w:val="00110ABA"/>
    <w:rsid w:val="00111DE8"/>
    <w:rsid w:val="00111E83"/>
    <w:rsid w:val="00114DFB"/>
    <w:rsid w:val="00131F91"/>
    <w:rsid w:val="001324C5"/>
    <w:rsid w:val="0013315A"/>
    <w:rsid w:val="001359D7"/>
    <w:rsid w:val="00146F48"/>
    <w:rsid w:val="00151F12"/>
    <w:rsid w:val="00157401"/>
    <w:rsid w:val="001629C5"/>
    <w:rsid w:val="00163B05"/>
    <w:rsid w:val="00171CC3"/>
    <w:rsid w:val="001732AA"/>
    <w:rsid w:val="0017367D"/>
    <w:rsid w:val="0017549C"/>
    <w:rsid w:val="00175796"/>
    <w:rsid w:val="0018204C"/>
    <w:rsid w:val="00185052"/>
    <w:rsid w:val="001A17A5"/>
    <w:rsid w:val="001A5F03"/>
    <w:rsid w:val="001B0964"/>
    <w:rsid w:val="001C074F"/>
    <w:rsid w:val="001C3AA0"/>
    <w:rsid w:val="001C6D04"/>
    <w:rsid w:val="001D3758"/>
    <w:rsid w:val="001D485D"/>
    <w:rsid w:val="001D52B4"/>
    <w:rsid w:val="001E1F03"/>
    <w:rsid w:val="001E4AA2"/>
    <w:rsid w:val="001F16EC"/>
    <w:rsid w:val="001F2395"/>
    <w:rsid w:val="002068E2"/>
    <w:rsid w:val="00214EAB"/>
    <w:rsid w:val="00217E56"/>
    <w:rsid w:val="00222323"/>
    <w:rsid w:val="00232169"/>
    <w:rsid w:val="00234EA0"/>
    <w:rsid w:val="00244FDD"/>
    <w:rsid w:val="00255C58"/>
    <w:rsid w:val="00261E9C"/>
    <w:rsid w:val="0026429A"/>
    <w:rsid w:val="002650A2"/>
    <w:rsid w:val="00270308"/>
    <w:rsid w:val="00277C44"/>
    <w:rsid w:val="00282EC9"/>
    <w:rsid w:val="00284C10"/>
    <w:rsid w:val="00292E89"/>
    <w:rsid w:val="0029343B"/>
    <w:rsid w:val="002B2E6E"/>
    <w:rsid w:val="002C19CE"/>
    <w:rsid w:val="002C1C7A"/>
    <w:rsid w:val="002C661D"/>
    <w:rsid w:val="002C7A14"/>
    <w:rsid w:val="002D3FFC"/>
    <w:rsid w:val="002E587A"/>
    <w:rsid w:val="002F4966"/>
    <w:rsid w:val="002F58B6"/>
    <w:rsid w:val="00310B8F"/>
    <w:rsid w:val="00311667"/>
    <w:rsid w:val="00312F3C"/>
    <w:rsid w:val="00320403"/>
    <w:rsid w:val="00323429"/>
    <w:rsid w:val="0033442B"/>
    <w:rsid w:val="00342E4B"/>
    <w:rsid w:val="0034336B"/>
    <w:rsid w:val="00362E72"/>
    <w:rsid w:val="00370721"/>
    <w:rsid w:val="00372252"/>
    <w:rsid w:val="0038314B"/>
    <w:rsid w:val="00384870"/>
    <w:rsid w:val="00386736"/>
    <w:rsid w:val="00394687"/>
    <w:rsid w:val="003A2608"/>
    <w:rsid w:val="003A3BE8"/>
    <w:rsid w:val="003B405F"/>
    <w:rsid w:val="003D1C2B"/>
    <w:rsid w:val="003E1B92"/>
    <w:rsid w:val="003E5ADF"/>
    <w:rsid w:val="003E6584"/>
    <w:rsid w:val="003E698F"/>
    <w:rsid w:val="003F0AB1"/>
    <w:rsid w:val="00400AA7"/>
    <w:rsid w:val="00401E90"/>
    <w:rsid w:val="004057BB"/>
    <w:rsid w:val="00405835"/>
    <w:rsid w:val="00407604"/>
    <w:rsid w:val="00413622"/>
    <w:rsid w:val="004145A9"/>
    <w:rsid w:val="0041548D"/>
    <w:rsid w:val="0041776D"/>
    <w:rsid w:val="004219F6"/>
    <w:rsid w:val="0043033F"/>
    <w:rsid w:val="00430EDC"/>
    <w:rsid w:val="00436A19"/>
    <w:rsid w:val="00436E7B"/>
    <w:rsid w:val="00445A62"/>
    <w:rsid w:val="00446EA0"/>
    <w:rsid w:val="00450132"/>
    <w:rsid w:val="004503D5"/>
    <w:rsid w:val="00452D0D"/>
    <w:rsid w:val="00466972"/>
    <w:rsid w:val="00467FD5"/>
    <w:rsid w:val="00474DCE"/>
    <w:rsid w:val="00476E5D"/>
    <w:rsid w:val="004807F3"/>
    <w:rsid w:val="0048304F"/>
    <w:rsid w:val="00485617"/>
    <w:rsid w:val="004876ED"/>
    <w:rsid w:val="00492153"/>
    <w:rsid w:val="00497B99"/>
    <w:rsid w:val="004A53F4"/>
    <w:rsid w:val="004A6CAF"/>
    <w:rsid w:val="004B462A"/>
    <w:rsid w:val="004B711A"/>
    <w:rsid w:val="004B7D0A"/>
    <w:rsid w:val="004B7D63"/>
    <w:rsid w:val="004C0644"/>
    <w:rsid w:val="004C0821"/>
    <w:rsid w:val="004D2348"/>
    <w:rsid w:val="004D2403"/>
    <w:rsid w:val="004D3C4D"/>
    <w:rsid w:val="004E3731"/>
    <w:rsid w:val="004E3830"/>
    <w:rsid w:val="004F0D94"/>
    <w:rsid w:val="004F3B63"/>
    <w:rsid w:val="004F56DC"/>
    <w:rsid w:val="004F5EE3"/>
    <w:rsid w:val="004F6CF7"/>
    <w:rsid w:val="005027EC"/>
    <w:rsid w:val="00510459"/>
    <w:rsid w:val="0051220F"/>
    <w:rsid w:val="005226EB"/>
    <w:rsid w:val="005269B9"/>
    <w:rsid w:val="00527B18"/>
    <w:rsid w:val="0053503F"/>
    <w:rsid w:val="005372E4"/>
    <w:rsid w:val="00541A38"/>
    <w:rsid w:val="00541FB8"/>
    <w:rsid w:val="00542D9D"/>
    <w:rsid w:val="005442D5"/>
    <w:rsid w:val="00546358"/>
    <w:rsid w:val="0055003C"/>
    <w:rsid w:val="00554794"/>
    <w:rsid w:val="005572CD"/>
    <w:rsid w:val="00563F86"/>
    <w:rsid w:val="00564D9D"/>
    <w:rsid w:val="00574C5A"/>
    <w:rsid w:val="00581F2E"/>
    <w:rsid w:val="00581FB0"/>
    <w:rsid w:val="00587BC5"/>
    <w:rsid w:val="00594068"/>
    <w:rsid w:val="00596AA0"/>
    <w:rsid w:val="005A4D07"/>
    <w:rsid w:val="005A5076"/>
    <w:rsid w:val="005A7676"/>
    <w:rsid w:val="005B1B78"/>
    <w:rsid w:val="005B5D37"/>
    <w:rsid w:val="005B66F8"/>
    <w:rsid w:val="005C3DC3"/>
    <w:rsid w:val="005D0A2F"/>
    <w:rsid w:val="005F1AC1"/>
    <w:rsid w:val="00627E28"/>
    <w:rsid w:val="0063092D"/>
    <w:rsid w:val="006315C5"/>
    <w:rsid w:val="00632482"/>
    <w:rsid w:val="00635D4D"/>
    <w:rsid w:val="00643E03"/>
    <w:rsid w:val="00644051"/>
    <w:rsid w:val="00645EAC"/>
    <w:rsid w:val="00647389"/>
    <w:rsid w:val="006502EC"/>
    <w:rsid w:val="006522B1"/>
    <w:rsid w:val="00652714"/>
    <w:rsid w:val="006532CF"/>
    <w:rsid w:val="006629D0"/>
    <w:rsid w:val="006635AF"/>
    <w:rsid w:val="006661F8"/>
    <w:rsid w:val="00671635"/>
    <w:rsid w:val="00672EF0"/>
    <w:rsid w:val="006747AA"/>
    <w:rsid w:val="00682D71"/>
    <w:rsid w:val="006837C1"/>
    <w:rsid w:val="00685654"/>
    <w:rsid w:val="006905E1"/>
    <w:rsid w:val="006C2777"/>
    <w:rsid w:val="006C570F"/>
    <w:rsid w:val="006C791A"/>
    <w:rsid w:val="006D1320"/>
    <w:rsid w:val="006D1B04"/>
    <w:rsid w:val="006D4720"/>
    <w:rsid w:val="006D4824"/>
    <w:rsid w:val="006D48CE"/>
    <w:rsid w:val="006E1546"/>
    <w:rsid w:val="006E2283"/>
    <w:rsid w:val="006E7273"/>
    <w:rsid w:val="006E76BF"/>
    <w:rsid w:val="006F357E"/>
    <w:rsid w:val="0070226E"/>
    <w:rsid w:val="00702342"/>
    <w:rsid w:val="00705F98"/>
    <w:rsid w:val="0071688B"/>
    <w:rsid w:val="007215D2"/>
    <w:rsid w:val="007230EC"/>
    <w:rsid w:val="0072344F"/>
    <w:rsid w:val="0072503A"/>
    <w:rsid w:val="007301A3"/>
    <w:rsid w:val="007320D1"/>
    <w:rsid w:val="00740D32"/>
    <w:rsid w:val="007413A5"/>
    <w:rsid w:val="00741603"/>
    <w:rsid w:val="00741841"/>
    <w:rsid w:val="00742920"/>
    <w:rsid w:val="00742CF1"/>
    <w:rsid w:val="00745EEC"/>
    <w:rsid w:val="00747DAE"/>
    <w:rsid w:val="00760A91"/>
    <w:rsid w:val="007610DB"/>
    <w:rsid w:val="00764E03"/>
    <w:rsid w:val="00767B93"/>
    <w:rsid w:val="007812DC"/>
    <w:rsid w:val="007A34FE"/>
    <w:rsid w:val="007A409D"/>
    <w:rsid w:val="007A411C"/>
    <w:rsid w:val="007A4F76"/>
    <w:rsid w:val="007B4386"/>
    <w:rsid w:val="007C25F4"/>
    <w:rsid w:val="007C5A44"/>
    <w:rsid w:val="007E38D8"/>
    <w:rsid w:val="007E5821"/>
    <w:rsid w:val="007F3EE0"/>
    <w:rsid w:val="007F4F63"/>
    <w:rsid w:val="00811596"/>
    <w:rsid w:val="008169B9"/>
    <w:rsid w:val="00821D58"/>
    <w:rsid w:val="008224A5"/>
    <w:rsid w:val="00827A7B"/>
    <w:rsid w:val="00832A58"/>
    <w:rsid w:val="00833D5F"/>
    <w:rsid w:val="00834861"/>
    <w:rsid w:val="00835DAB"/>
    <w:rsid w:val="008378FA"/>
    <w:rsid w:val="00846004"/>
    <w:rsid w:val="00853AE4"/>
    <w:rsid w:val="008562BA"/>
    <w:rsid w:val="00856D17"/>
    <w:rsid w:val="008623DC"/>
    <w:rsid w:val="00867E8D"/>
    <w:rsid w:val="00883B3D"/>
    <w:rsid w:val="00892C1A"/>
    <w:rsid w:val="00892F25"/>
    <w:rsid w:val="008A7D57"/>
    <w:rsid w:val="008B38E2"/>
    <w:rsid w:val="008B66CF"/>
    <w:rsid w:val="008C42AD"/>
    <w:rsid w:val="008D39C3"/>
    <w:rsid w:val="008D3BB4"/>
    <w:rsid w:val="008D6C1A"/>
    <w:rsid w:val="008E134A"/>
    <w:rsid w:val="008E1C8A"/>
    <w:rsid w:val="008E33BB"/>
    <w:rsid w:val="008F1491"/>
    <w:rsid w:val="008F3574"/>
    <w:rsid w:val="008F50AC"/>
    <w:rsid w:val="008F6DA5"/>
    <w:rsid w:val="008F7EDA"/>
    <w:rsid w:val="0090595D"/>
    <w:rsid w:val="00917608"/>
    <w:rsid w:val="0092568E"/>
    <w:rsid w:val="0092615D"/>
    <w:rsid w:val="00930C83"/>
    <w:rsid w:val="00934560"/>
    <w:rsid w:val="0093575C"/>
    <w:rsid w:val="0094358C"/>
    <w:rsid w:val="00944973"/>
    <w:rsid w:val="009551AB"/>
    <w:rsid w:val="00955626"/>
    <w:rsid w:val="00960DCB"/>
    <w:rsid w:val="00962F45"/>
    <w:rsid w:val="0096655A"/>
    <w:rsid w:val="00967F85"/>
    <w:rsid w:val="00972E5F"/>
    <w:rsid w:val="00973896"/>
    <w:rsid w:val="00977B41"/>
    <w:rsid w:val="009815F3"/>
    <w:rsid w:val="0098253C"/>
    <w:rsid w:val="00984FC0"/>
    <w:rsid w:val="009861C2"/>
    <w:rsid w:val="00990066"/>
    <w:rsid w:val="00997735"/>
    <w:rsid w:val="009A1CA5"/>
    <w:rsid w:val="009A1FD0"/>
    <w:rsid w:val="009A5611"/>
    <w:rsid w:val="009A65B2"/>
    <w:rsid w:val="009B2EC7"/>
    <w:rsid w:val="009B41EC"/>
    <w:rsid w:val="009B7E38"/>
    <w:rsid w:val="009C1F2E"/>
    <w:rsid w:val="009C2524"/>
    <w:rsid w:val="009C78D2"/>
    <w:rsid w:val="009C7DD7"/>
    <w:rsid w:val="009D1657"/>
    <w:rsid w:val="009E5E17"/>
    <w:rsid w:val="009F51BE"/>
    <w:rsid w:val="009F67D8"/>
    <w:rsid w:val="009F7E38"/>
    <w:rsid w:val="00A05151"/>
    <w:rsid w:val="00A06D28"/>
    <w:rsid w:val="00A31EC2"/>
    <w:rsid w:val="00A339FC"/>
    <w:rsid w:val="00A36FA7"/>
    <w:rsid w:val="00A44173"/>
    <w:rsid w:val="00A46203"/>
    <w:rsid w:val="00A510FE"/>
    <w:rsid w:val="00A52B40"/>
    <w:rsid w:val="00A54A77"/>
    <w:rsid w:val="00A54F54"/>
    <w:rsid w:val="00A653B4"/>
    <w:rsid w:val="00A674D1"/>
    <w:rsid w:val="00A70E7C"/>
    <w:rsid w:val="00A74550"/>
    <w:rsid w:val="00A77887"/>
    <w:rsid w:val="00A8078C"/>
    <w:rsid w:val="00A85AC1"/>
    <w:rsid w:val="00A862D2"/>
    <w:rsid w:val="00A93B43"/>
    <w:rsid w:val="00A9620B"/>
    <w:rsid w:val="00AA09A0"/>
    <w:rsid w:val="00AB6317"/>
    <w:rsid w:val="00AB7A46"/>
    <w:rsid w:val="00AC208E"/>
    <w:rsid w:val="00AC3734"/>
    <w:rsid w:val="00AC3D96"/>
    <w:rsid w:val="00AE372C"/>
    <w:rsid w:val="00AF0A71"/>
    <w:rsid w:val="00B02432"/>
    <w:rsid w:val="00B04E1C"/>
    <w:rsid w:val="00B125DE"/>
    <w:rsid w:val="00B1517C"/>
    <w:rsid w:val="00B15188"/>
    <w:rsid w:val="00B15619"/>
    <w:rsid w:val="00B23FE9"/>
    <w:rsid w:val="00B30CF8"/>
    <w:rsid w:val="00B317BA"/>
    <w:rsid w:val="00B34984"/>
    <w:rsid w:val="00B36AE9"/>
    <w:rsid w:val="00B60BDE"/>
    <w:rsid w:val="00B77D2D"/>
    <w:rsid w:val="00B816C0"/>
    <w:rsid w:val="00B8376A"/>
    <w:rsid w:val="00B85E44"/>
    <w:rsid w:val="00B864D2"/>
    <w:rsid w:val="00B87B8F"/>
    <w:rsid w:val="00B87C5F"/>
    <w:rsid w:val="00B91CEC"/>
    <w:rsid w:val="00B92C2A"/>
    <w:rsid w:val="00B9346B"/>
    <w:rsid w:val="00B945C9"/>
    <w:rsid w:val="00BA7316"/>
    <w:rsid w:val="00BB0872"/>
    <w:rsid w:val="00BB10D4"/>
    <w:rsid w:val="00BB1A47"/>
    <w:rsid w:val="00BB3294"/>
    <w:rsid w:val="00BC07B2"/>
    <w:rsid w:val="00BC0C87"/>
    <w:rsid w:val="00BC173C"/>
    <w:rsid w:val="00BC78F1"/>
    <w:rsid w:val="00BD3E6B"/>
    <w:rsid w:val="00BD6ABF"/>
    <w:rsid w:val="00BE653B"/>
    <w:rsid w:val="00BE6FAE"/>
    <w:rsid w:val="00BE7C22"/>
    <w:rsid w:val="00BF3791"/>
    <w:rsid w:val="00BF646D"/>
    <w:rsid w:val="00C03417"/>
    <w:rsid w:val="00C05525"/>
    <w:rsid w:val="00C05623"/>
    <w:rsid w:val="00C06F6B"/>
    <w:rsid w:val="00C11803"/>
    <w:rsid w:val="00C11B4C"/>
    <w:rsid w:val="00C142D2"/>
    <w:rsid w:val="00C15C77"/>
    <w:rsid w:val="00C20339"/>
    <w:rsid w:val="00C23085"/>
    <w:rsid w:val="00C2471A"/>
    <w:rsid w:val="00C3132D"/>
    <w:rsid w:val="00C3149B"/>
    <w:rsid w:val="00C44EC1"/>
    <w:rsid w:val="00C5183F"/>
    <w:rsid w:val="00C523F4"/>
    <w:rsid w:val="00C70439"/>
    <w:rsid w:val="00C709F4"/>
    <w:rsid w:val="00C71E74"/>
    <w:rsid w:val="00C82C80"/>
    <w:rsid w:val="00C84EFE"/>
    <w:rsid w:val="00C86425"/>
    <w:rsid w:val="00C9120D"/>
    <w:rsid w:val="00C96407"/>
    <w:rsid w:val="00CA449A"/>
    <w:rsid w:val="00CA4636"/>
    <w:rsid w:val="00CB0EDA"/>
    <w:rsid w:val="00CB4D37"/>
    <w:rsid w:val="00CB5E28"/>
    <w:rsid w:val="00CC0DA5"/>
    <w:rsid w:val="00CC2B10"/>
    <w:rsid w:val="00CD2097"/>
    <w:rsid w:val="00CD610B"/>
    <w:rsid w:val="00CD64B2"/>
    <w:rsid w:val="00CD77BC"/>
    <w:rsid w:val="00CE20F1"/>
    <w:rsid w:val="00CE2F97"/>
    <w:rsid w:val="00CE393E"/>
    <w:rsid w:val="00CE56FF"/>
    <w:rsid w:val="00CF0A83"/>
    <w:rsid w:val="00CF1F36"/>
    <w:rsid w:val="00D00020"/>
    <w:rsid w:val="00D001BF"/>
    <w:rsid w:val="00D0049A"/>
    <w:rsid w:val="00D0674C"/>
    <w:rsid w:val="00D13DDD"/>
    <w:rsid w:val="00D242BA"/>
    <w:rsid w:val="00D25F21"/>
    <w:rsid w:val="00D26F9F"/>
    <w:rsid w:val="00D319BA"/>
    <w:rsid w:val="00D35663"/>
    <w:rsid w:val="00D36B7E"/>
    <w:rsid w:val="00D41FEF"/>
    <w:rsid w:val="00D46C20"/>
    <w:rsid w:val="00D7097F"/>
    <w:rsid w:val="00D9029B"/>
    <w:rsid w:val="00DA133F"/>
    <w:rsid w:val="00DA3787"/>
    <w:rsid w:val="00DB19EA"/>
    <w:rsid w:val="00DB4210"/>
    <w:rsid w:val="00DB428A"/>
    <w:rsid w:val="00DB48B1"/>
    <w:rsid w:val="00DC1B0C"/>
    <w:rsid w:val="00DD1951"/>
    <w:rsid w:val="00DE0A0D"/>
    <w:rsid w:val="00DF38F3"/>
    <w:rsid w:val="00E008DE"/>
    <w:rsid w:val="00E01AE9"/>
    <w:rsid w:val="00E03060"/>
    <w:rsid w:val="00E1012C"/>
    <w:rsid w:val="00E14BF4"/>
    <w:rsid w:val="00E15732"/>
    <w:rsid w:val="00E22BA1"/>
    <w:rsid w:val="00E25AB4"/>
    <w:rsid w:val="00E36BFB"/>
    <w:rsid w:val="00E36E50"/>
    <w:rsid w:val="00E42974"/>
    <w:rsid w:val="00E47765"/>
    <w:rsid w:val="00E51E1F"/>
    <w:rsid w:val="00E536A6"/>
    <w:rsid w:val="00E70CA5"/>
    <w:rsid w:val="00E73FD2"/>
    <w:rsid w:val="00E768B3"/>
    <w:rsid w:val="00E86030"/>
    <w:rsid w:val="00E96D83"/>
    <w:rsid w:val="00EB5152"/>
    <w:rsid w:val="00EC25ED"/>
    <w:rsid w:val="00EC42A6"/>
    <w:rsid w:val="00ED3544"/>
    <w:rsid w:val="00ED739E"/>
    <w:rsid w:val="00EE2944"/>
    <w:rsid w:val="00EE7D5B"/>
    <w:rsid w:val="00EF0772"/>
    <w:rsid w:val="00EF112B"/>
    <w:rsid w:val="00EF60ED"/>
    <w:rsid w:val="00F034BA"/>
    <w:rsid w:val="00F114E0"/>
    <w:rsid w:val="00F11EF3"/>
    <w:rsid w:val="00F1311D"/>
    <w:rsid w:val="00F13FFD"/>
    <w:rsid w:val="00F1578C"/>
    <w:rsid w:val="00F304BD"/>
    <w:rsid w:val="00F360A6"/>
    <w:rsid w:val="00F36C54"/>
    <w:rsid w:val="00F4152B"/>
    <w:rsid w:val="00F41B3A"/>
    <w:rsid w:val="00F45E5D"/>
    <w:rsid w:val="00F524DA"/>
    <w:rsid w:val="00F525B1"/>
    <w:rsid w:val="00F52D8E"/>
    <w:rsid w:val="00F57795"/>
    <w:rsid w:val="00F57FC9"/>
    <w:rsid w:val="00F61B64"/>
    <w:rsid w:val="00F621A8"/>
    <w:rsid w:val="00F64756"/>
    <w:rsid w:val="00F8288E"/>
    <w:rsid w:val="00F93319"/>
    <w:rsid w:val="00F94EF6"/>
    <w:rsid w:val="00F95A1F"/>
    <w:rsid w:val="00F96E21"/>
    <w:rsid w:val="00F97CFE"/>
    <w:rsid w:val="00FA0979"/>
    <w:rsid w:val="00FA3D8A"/>
    <w:rsid w:val="00FA4408"/>
    <w:rsid w:val="00FA7C17"/>
    <w:rsid w:val="00FB35AF"/>
    <w:rsid w:val="00FB396E"/>
    <w:rsid w:val="00FB6209"/>
    <w:rsid w:val="00FB7C80"/>
    <w:rsid w:val="00FC1668"/>
    <w:rsid w:val="00FC1E7C"/>
    <w:rsid w:val="00FC2ADC"/>
    <w:rsid w:val="00FC554A"/>
    <w:rsid w:val="00FD42FF"/>
    <w:rsid w:val="00FE2ABC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01F0F"/>
  <w15:chartTrackingRefBased/>
  <w15:docId w15:val="{BA3DBEAA-AC70-4E0D-960D-288322D3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6F8"/>
  </w:style>
  <w:style w:type="paragraph" w:styleId="Heading1">
    <w:name w:val="heading 1"/>
    <w:basedOn w:val="Normal"/>
    <w:next w:val="Normal"/>
    <w:link w:val="Heading1Char"/>
    <w:uiPriority w:val="9"/>
    <w:qFormat/>
    <w:rsid w:val="006502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9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B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71CC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71CC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171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25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20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0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60BDE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2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9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2344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B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E8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otglist1">
    <w:name w:val="otglist1"/>
    <w:basedOn w:val="Normal"/>
    <w:rsid w:val="00E8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6030"/>
    <w:rPr>
      <w:color w:val="800080"/>
      <w:u w:val="single"/>
    </w:rPr>
  </w:style>
  <w:style w:type="paragraph" w:customStyle="1" w:styleId="otglist2">
    <w:name w:val="otglist2"/>
    <w:basedOn w:val="Normal"/>
    <w:rsid w:val="00E8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otglist3">
    <w:name w:val="otglist3"/>
    <w:basedOn w:val="Normal"/>
    <w:rsid w:val="00E8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otglist4">
    <w:name w:val="otglist4"/>
    <w:basedOn w:val="Normal"/>
    <w:rsid w:val="00E8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otglist5">
    <w:name w:val="otglist5"/>
    <w:basedOn w:val="Normal"/>
    <w:rsid w:val="00E8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otglist6">
    <w:name w:val="otglist6"/>
    <w:basedOn w:val="Normal"/>
    <w:rsid w:val="00E8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wrap">
    <w:name w:val="nowrap"/>
    <w:basedOn w:val="DefaultParagraphFont"/>
    <w:rsid w:val="00E86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ternalhealth.com/wp-content/uploads/2022/10/eternalHealth_MA-Part-B-PA-List-eff-1-1-2025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ms.gov/medicare-coverage-database/view/lcd.aspx?lcdid=33610&amp;ver=61&amp;keyword=immune%20globulin&amp;keywordType=starts&amp;areaId=all&amp;docType=NCA,CAL,NCD,MEDCAC,TA,MCD,6,3,5,1,F,P&amp;contractOption=all&amp;sortBy=updated&amp;bc=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ms.gov/medicare-coverage-database/view/article.aspx?articleid=52509&amp;ver=56&amp;keyword=immune%20globulin&amp;keywordType=starts&amp;areaId=all&amp;docType=NCA,CAL,NCD,MEDCAC,TA,MCD,6,3,5,1,F,P&amp;contractOption=all&amp;sortBy=updated&amp;bc=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cms.gov/medicare/payment/part-b-drugs/asp-pricing-fi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3728796F1AF49AA5EE7049D0CA2DC" ma:contentTypeVersion="14" ma:contentTypeDescription="Create a new document." ma:contentTypeScope="" ma:versionID="65de5af41dbab921a85d81f10df3da20">
  <xsd:schema xmlns:xsd="http://www.w3.org/2001/XMLSchema" xmlns:xs="http://www.w3.org/2001/XMLSchema" xmlns:p="http://schemas.microsoft.com/office/2006/metadata/properties" xmlns:ns2="febe0462-7ad9-4cf3-8274-aa0cc4f080f3" xmlns:ns3="2498f20f-782f-4f87-afd5-421022d6a89d" targetNamespace="http://schemas.microsoft.com/office/2006/metadata/properties" ma:root="true" ma:fieldsID="0bf25b7367e3d42f5cee4169929b16ed" ns2:_="" ns3:_="">
    <xsd:import namespace="febe0462-7ad9-4cf3-8274-aa0cc4f080f3"/>
    <xsd:import namespace="2498f20f-782f-4f87-afd5-421022d6a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0462-7ad9-4cf3-8274-aa0cc4f08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46684a-a19c-4d21-91c6-41048820a2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8f20f-782f-4f87-afd5-421022d6a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65e6f0-0859-4a49-ae1b-b418d9cfe567}" ma:internalName="TaxCatchAll" ma:showField="CatchAllData" ma:web="2498f20f-782f-4f87-afd5-421022d6a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e0462-7ad9-4cf3-8274-aa0cc4f080f3">
      <Terms xmlns="http://schemas.microsoft.com/office/infopath/2007/PartnerControls"/>
    </lcf76f155ced4ddcb4097134ff3c332f>
    <TaxCatchAll xmlns="2498f20f-782f-4f87-afd5-421022d6a89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F8217-C98A-44F0-B7B3-30FEED3EA9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CBC88B-A05F-47BD-8DA4-A51968A1A726}"/>
</file>

<file path=customXml/itemProps3.xml><?xml version="1.0" encoding="utf-8"?>
<ds:datastoreItem xmlns:ds="http://schemas.openxmlformats.org/officeDocument/2006/customXml" ds:itemID="{860CF4EE-56B7-4BC8-9965-1CCC54DC16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ba3640-328d-449a-9f7d-a6e0f48b18e2"/>
    <ds:schemaRef ds:uri="8a5f5284-53ab-4ff8-b83a-40cadec04070"/>
  </ds:schemaRefs>
</ds:datastoreItem>
</file>

<file path=customXml/itemProps4.xml><?xml version="1.0" encoding="utf-8"?>
<ds:datastoreItem xmlns:ds="http://schemas.openxmlformats.org/officeDocument/2006/customXml" ds:itemID="{89D7D37D-E0D8-46F7-BEDF-FFBFBD885B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2022</Words>
  <Characters>11529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Cardinal</dc:creator>
  <cp:keywords/>
  <dc:description/>
  <cp:lastModifiedBy>John Vellutato</cp:lastModifiedBy>
  <cp:revision>4</cp:revision>
  <dcterms:created xsi:type="dcterms:W3CDTF">2025-04-09T13:59:00Z</dcterms:created>
  <dcterms:modified xsi:type="dcterms:W3CDTF">2025-07-28T19:28:00Z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0x0101004673728796F1AF49AA5EE7049D0CA2DC</vt:lpwstr>
  </property>
</Properties>
</file>