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185A2"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5DBAA884" w:rsidR="00171CC3" w:rsidRPr="00171CC3" w:rsidRDefault="00465DFD"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Nausea</w:t>
      </w:r>
    </w:p>
    <w:p w14:paraId="480C9C92" w14:textId="00E85CBD" w:rsidR="00171CC3" w:rsidRPr="005226EB"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A71B09">
        <w:rPr>
          <w:rFonts w:ascii="Futura" w:eastAsia="Calibri" w:hAnsi="Futura" w:cs="Calibri"/>
          <w:b/>
          <w:bCs/>
          <w:color w:val="00AEDB"/>
          <w:sz w:val="24"/>
          <w:szCs w:val="24"/>
          <w:lang w:bidi="en-US"/>
        </w:rPr>
        <w:t>UMST-15</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FD05E9"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615AF15D" w:rsidR="00320403" w:rsidRDefault="00A71B09"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0F387D03" w:rsidR="00320403" w:rsidRDefault="00A71B09">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0436C145" w:rsidR="00320403" w:rsidRDefault="0081059E">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4C82B0EB" w:rsidR="00320403" w:rsidRDefault="00A71B09">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41629CB3" w:rsidR="00320403" w:rsidRDefault="00A71B09">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7F6E2204" w:rsidR="00320403" w:rsidRDefault="00A71B09">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3B6A5ADE" w:rsidR="00320403" w:rsidRDefault="00A71B09">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69ABDD0C" w:rsidR="00320403" w:rsidRDefault="00A71B09">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6E571F95" w:rsidR="00320403" w:rsidRDefault="00A71B09">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81059E" w14:paraId="27882D9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2CB2C295" w14:textId="20D06EFC" w:rsidR="0081059E" w:rsidRDefault="0081059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60DFA5CB" w14:textId="260DFB9F" w:rsidR="0081059E" w:rsidRDefault="0081059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EE84A83" w14:textId="4687A2A3" w:rsidR="0081059E" w:rsidRDefault="0081059E">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307F87C4" w14:textId="77777777" w:rsidR="0081059E" w:rsidRDefault="0081059E">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79051CD6"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This policy stands to show the criteria and </w:t>
      </w:r>
      <w:r w:rsidR="001C1DF1">
        <w:rPr>
          <w:rFonts w:ascii="Futura" w:eastAsia="Calibri" w:hAnsi="Futura" w:cs="Calibri"/>
          <w:color w:val="000000"/>
          <w:sz w:val="20"/>
          <w:szCs w:val="20"/>
          <w:lang w:bidi="en-US"/>
        </w:rPr>
        <w:t>preferencing for</w:t>
      </w:r>
      <w:r w:rsidR="00827A7B">
        <w:rPr>
          <w:rFonts w:ascii="Futura" w:eastAsia="Calibri" w:hAnsi="Futura" w:cs="Calibri"/>
          <w:color w:val="000000"/>
          <w:sz w:val="20"/>
          <w:szCs w:val="20"/>
          <w:lang w:bidi="en-US"/>
        </w:rPr>
        <w:t xml:space="preserve"> </w:t>
      </w:r>
      <w:r w:rsidR="0007593E">
        <w:rPr>
          <w:rFonts w:ascii="Futura" w:eastAsia="Calibri" w:hAnsi="Futura" w:cs="Calibri"/>
          <w:color w:val="000000"/>
          <w:sz w:val="20"/>
          <w:szCs w:val="20"/>
          <w:lang w:bidi="en-US"/>
        </w:rPr>
        <w:t xml:space="preserve">emetogenic therapy and other antiemetic </w:t>
      </w:r>
      <w:r w:rsidR="00827A7B">
        <w:rPr>
          <w:rFonts w:ascii="Futura" w:eastAsia="Calibri" w:hAnsi="Futura" w:cs="Calibri"/>
          <w:color w:val="000000"/>
          <w:sz w:val="20"/>
          <w:szCs w:val="20"/>
          <w:lang w:bidi="en-US"/>
        </w:rPr>
        <w:t xml:space="preserve">agents </w:t>
      </w:r>
      <w:r w:rsidR="00C11055">
        <w:rPr>
          <w:rFonts w:ascii="Futura" w:eastAsia="Calibri" w:hAnsi="Futura" w:cs="Calibri"/>
          <w:color w:val="000000"/>
          <w:sz w:val="20"/>
          <w:szCs w:val="20"/>
          <w:lang w:bidi="en-US"/>
        </w:rPr>
        <w:t>th</w:t>
      </w:r>
      <w:r w:rsidR="0007593E">
        <w:rPr>
          <w:rFonts w:ascii="Futura" w:eastAsia="Calibri" w:hAnsi="Futura" w:cs="Calibri"/>
          <w:color w:val="000000"/>
          <w:sz w:val="20"/>
          <w:szCs w:val="20"/>
          <w:lang w:bidi="en-US"/>
        </w:rPr>
        <w:t>erapeutically used to treat and prevent nausea</w:t>
      </w:r>
      <w:r w:rsidR="00827A7B">
        <w:rPr>
          <w:rFonts w:ascii="Futura" w:eastAsia="Calibri" w:hAnsi="Futura" w:cs="Calibri"/>
          <w:color w:val="000000"/>
          <w:sz w:val="20"/>
          <w:szCs w:val="20"/>
          <w:lang w:bidi="en-US"/>
        </w:rPr>
        <w:t xml:space="preserve">.  At the time of creation of this policy, there </w:t>
      </w:r>
      <w:r w:rsidR="00AA758B">
        <w:rPr>
          <w:rFonts w:ascii="Futura" w:eastAsia="Calibri" w:hAnsi="Futura" w:cs="Calibri"/>
          <w:color w:val="000000"/>
          <w:sz w:val="20"/>
          <w:szCs w:val="20"/>
          <w:lang w:bidi="en-US"/>
        </w:rPr>
        <w:t xml:space="preserve">are </w:t>
      </w:r>
      <w:r w:rsidR="006925D3">
        <w:rPr>
          <w:rFonts w:ascii="Futura" w:eastAsia="Calibri" w:hAnsi="Futura" w:cs="Calibri"/>
          <w:color w:val="000000"/>
          <w:sz w:val="20"/>
          <w:szCs w:val="20"/>
          <w:lang w:bidi="en-US"/>
        </w:rPr>
        <w:t>sev</w:t>
      </w:r>
      <w:r w:rsidR="00AA758B">
        <w:rPr>
          <w:rFonts w:ascii="Futura" w:eastAsia="Calibri" w:hAnsi="Futura" w:cs="Calibri"/>
          <w:color w:val="000000"/>
          <w:sz w:val="20"/>
          <w:szCs w:val="20"/>
          <w:lang w:bidi="en-US"/>
        </w:rPr>
        <w:t>en</w:t>
      </w:r>
      <w:r w:rsidR="004B7D63">
        <w:rPr>
          <w:rFonts w:ascii="Futura" w:eastAsia="Calibri" w:hAnsi="Futura" w:cs="Calibri"/>
          <w:color w:val="000000"/>
          <w:sz w:val="20"/>
          <w:szCs w:val="20"/>
          <w:lang w:bidi="en-US"/>
        </w:rPr>
        <w:t xml:space="preserve"> agent</w:t>
      </w:r>
      <w:r w:rsidR="00AA758B">
        <w:rPr>
          <w:rFonts w:ascii="Futura" w:eastAsia="Calibri" w:hAnsi="Futura" w:cs="Calibri"/>
          <w:color w:val="000000"/>
          <w:sz w:val="20"/>
          <w:szCs w:val="20"/>
          <w:lang w:bidi="en-US"/>
        </w:rPr>
        <w:t>s</w:t>
      </w:r>
      <w:r w:rsidR="004B7D63">
        <w:rPr>
          <w:rFonts w:ascii="Futura" w:eastAsia="Calibri" w:hAnsi="Futura" w:cs="Calibri"/>
          <w:color w:val="000000"/>
          <w:sz w:val="20"/>
          <w:szCs w:val="20"/>
          <w:lang w:bidi="en-US"/>
        </w:rPr>
        <w:t xml:space="preserve"> to be reviewed:</w:t>
      </w:r>
      <w:r w:rsidR="00E0375A">
        <w:rPr>
          <w:rFonts w:ascii="Futura" w:eastAsia="Calibri" w:hAnsi="Futura" w:cs="Calibri"/>
          <w:color w:val="000000"/>
          <w:sz w:val="20"/>
          <w:szCs w:val="20"/>
          <w:lang w:bidi="en-US"/>
        </w:rPr>
        <w:t xml:space="preserve"> </w:t>
      </w:r>
      <w:r w:rsidR="00412F93">
        <w:rPr>
          <w:rFonts w:ascii="Futura" w:eastAsia="Calibri" w:hAnsi="Futura" w:cs="Calibri"/>
          <w:color w:val="000000"/>
          <w:sz w:val="20"/>
          <w:szCs w:val="20"/>
          <w:lang w:bidi="en-US"/>
        </w:rPr>
        <w:t>aprepitant</w:t>
      </w:r>
      <w:r w:rsidR="00C54511">
        <w:rPr>
          <w:rFonts w:ascii="Futura" w:eastAsia="Calibri" w:hAnsi="Futura" w:cs="Calibri"/>
          <w:color w:val="000000"/>
          <w:sz w:val="20"/>
          <w:szCs w:val="20"/>
          <w:lang w:bidi="en-US"/>
        </w:rPr>
        <w:t>-J</w:t>
      </w:r>
      <w:r w:rsidR="00412F93">
        <w:rPr>
          <w:rFonts w:ascii="Futura" w:eastAsia="Calibri" w:hAnsi="Futura" w:cs="Calibri"/>
          <w:color w:val="000000"/>
          <w:sz w:val="20"/>
          <w:szCs w:val="20"/>
          <w:lang w:bidi="en-US"/>
        </w:rPr>
        <w:t>0185</w:t>
      </w:r>
      <w:r w:rsidR="00554AA1">
        <w:rPr>
          <w:rFonts w:ascii="Futura" w:eastAsia="Calibri" w:hAnsi="Futura" w:cs="Calibri"/>
          <w:color w:val="000000"/>
          <w:sz w:val="20"/>
          <w:szCs w:val="20"/>
          <w:lang w:bidi="en-US"/>
        </w:rPr>
        <w:t>/J8501</w:t>
      </w:r>
      <w:r w:rsidR="00343989">
        <w:rPr>
          <w:rFonts w:ascii="Futura" w:eastAsia="Calibri" w:hAnsi="Futura" w:cs="Calibri"/>
          <w:color w:val="000000"/>
          <w:sz w:val="20"/>
          <w:szCs w:val="20"/>
          <w:lang w:bidi="en-US"/>
        </w:rPr>
        <w:t xml:space="preserve">, </w:t>
      </w:r>
      <w:r w:rsidR="00967536">
        <w:rPr>
          <w:rFonts w:ascii="Futura" w:eastAsia="Calibri" w:hAnsi="Futura" w:cs="Calibri"/>
          <w:color w:val="000000"/>
          <w:sz w:val="20"/>
          <w:szCs w:val="20"/>
          <w:lang w:bidi="en-US"/>
        </w:rPr>
        <w:t xml:space="preserve">ondansetron-J2405/Q0162, </w:t>
      </w:r>
      <w:r w:rsidR="00A92D88">
        <w:rPr>
          <w:rFonts w:ascii="Futura" w:eastAsia="Calibri" w:hAnsi="Futura" w:cs="Calibri"/>
          <w:color w:val="000000"/>
          <w:sz w:val="20"/>
          <w:szCs w:val="20"/>
          <w:lang w:bidi="en-US"/>
        </w:rPr>
        <w:t>fosaprepitant-J1453</w:t>
      </w:r>
      <w:r w:rsidR="00AB0163">
        <w:rPr>
          <w:rFonts w:ascii="Futura" w:eastAsia="Calibri" w:hAnsi="Futura" w:cs="Calibri"/>
          <w:color w:val="000000"/>
          <w:sz w:val="20"/>
          <w:szCs w:val="20"/>
          <w:lang w:bidi="en-US"/>
        </w:rPr>
        <w:t>/J1456</w:t>
      </w:r>
      <w:r w:rsidR="00343989">
        <w:rPr>
          <w:rFonts w:ascii="Futura" w:eastAsia="Calibri" w:hAnsi="Futura" w:cs="Calibri"/>
          <w:color w:val="000000"/>
          <w:sz w:val="20"/>
          <w:szCs w:val="20"/>
          <w:lang w:bidi="en-US"/>
        </w:rPr>
        <w:t xml:space="preserve">, </w:t>
      </w:r>
      <w:r w:rsidR="00AB0163">
        <w:rPr>
          <w:rFonts w:ascii="Futura" w:eastAsia="Calibri" w:hAnsi="Futura" w:cs="Calibri"/>
          <w:color w:val="000000"/>
          <w:sz w:val="20"/>
          <w:szCs w:val="20"/>
          <w:lang w:bidi="en-US"/>
        </w:rPr>
        <w:t>granisetron-</w:t>
      </w:r>
      <w:r w:rsidR="007C15B8">
        <w:rPr>
          <w:rFonts w:ascii="Futura" w:eastAsia="Calibri" w:hAnsi="Futura" w:cs="Calibri"/>
          <w:color w:val="000000"/>
          <w:sz w:val="20"/>
          <w:szCs w:val="20"/>
          <w:lang w:bidi="en-US"/>
        </w:rPr>
        <w:t>J1626</w:t>
      </w:r>
      <w:r w:rsidR="002A56BD">
        <w:rPr>
          <w:rFonts w:ascii="Futura" w:eastAsia="Calibri" w:hAnsi="Futura" w:cs="Calibri"/>
          <w:color w:val="000000"/>
          <w:sz w:val="20"/>
          <w:szCs w:val="20"/>
          <w:lang w:bidi="en-US"/>
        </w:rPr>
        <w:t>/J1627</w:t>
      </w:r>
      <w:r w:rsidR="007C15B8">
        <w:rPr>
          <w:rFonts w:ascii="Futura" w:eastAsia="Calibri" w:hAnsi="Futura" w:cs="Calibri"/>
          <w:color w:val="000000"/>
          <w:sz w:val="20"/>
          <w:szCs w:val="20"/>
          <w:lang w:bidi="en-US"/>
        </w:rPr>
        <w:t>, palonosetron-J2469</w:t>
      </w:r>
      <w:r w:rsidR="00554AA1">
        <w:rPr>
          <w:rFonts w:ascii="Futura" w:eastAsia="Calibri" w:hAnsi="Futura" w:cs="Calibri"/>
          <w:color w:val="000000"/>
          <w:sz w:val="20"/>
          <w:szCs w:val="20"/>
          <w:lang w:bidi="en-US"/>
        </w:rPr>
        <w:t xml:space="preserve">, </w:t>
      </w:r>
      <w:proofErr w:type="spellStart"/>
      <w:r w:rsidR="00554AA1">
        <w:rPr>
          <w:rFonts w:ascii="Futura" w:eastAsia="Calibri" w:hAnsi="Futura" w:cs="Calibri"/>
          <w:color w:val="000000"/>
          <w:sz w:val="20"/>
          <w:szCs w:val="20"/>
          <w:lang w:bidi="en-US"/>
        </w:rPr>
        <w:t>fos</w:t>
      </w:r>
      <w:r w:rsidR="002A56BD">
        <w:rPr>
          <w:rFonts w:ascii="Futura" w:eastAsia="Calibri" w:hAnsi="Futura" w:cs="Calibri"/>
          <w:color w:val="000000"/>
          <w:sz w:val="20"/>
          <w:szCs w:val="20"/>
          <w:lang w:bidi="en-US"/>
        </w:rPr>
        <w:t>netupitant</w:t>
      </w:r>
      <w:proofErr w:type="spellEnd"/>
      <w:r w:rsidR="0015272C">
        <w:rPr>
          <w:rFonts w:ascii="Futura" w:eastAsia="Calibri" w:hAnsi="Futura" w:cs="Calibri"/>
          <w:color w:val="000000"/>
          <w:sz w:val="20"/>
          <w:szCs w:val="20"/>
          <w:lang w:bidi="en-US"/>
        </w:rPr>
        <w:t>/palonosetron</w:t>
      </w:r>
      <w:r w:rsidR="00E5163D">
        <w:rPr>
          <w:rFonts w:ascii="Futura" w:eastAsia="Calibri" w:hAnsi="Futura" w:cs="Calibri"/>
          <w:color w:val="000000"/>
          <w:sz w:val="20"/>
          <w:szCs w:val="20"/>
          <w:lang w:bidi="en-US"/>
        </w:rPr>
        <w:t>-J1454</w:t>
      </w:r>
      <w:r w:rsidR="0015272C">
        <w:rPr>
          <w:rFonts w:ascii="Futura" w:eastAsia="Calibri" w:hAnsi="Futura" w:cs="Calibri"/>
          <w:color w:val="000000"/>
          <w:sz w:val="20"/>
          <w:szCs w:val="20"/>
          <w:lang w:bidi="en-US"/>
        </w:rPr>
        <w:t xml:space="preserve">, and </w:t>
      </w:r>
      <w:proofErr w:type="spellStart"/>
      <w:r w:rsidR="006925D3">
        <w:rPr>
          <w:rFonts w:ascii="Futura" w:eastAsia="Calibri" w:hAnsi="Futura" w:cs="Calibri"/>
          <w:color w:val="000000"/>
          <w:sz w:val="20"/>
          <w:szCs w:val="20"/>
          <w:lang w:bidi="en-US"/>
        </w:rPr>
        <w:t>netupitant</w:t>
      </w:r>
      <w:proofErr w:type="spellEnd"/>
      <w:r w:rsidR="006925D3">
        <w:rPr>
          <w:rFonts w:ascii="Futura" w:eastAsia="Calibri" w:hAnsi="Futura" w:cs="Calibri"/>
          <w:color w:val="000000"/>
          <w:sz w:val="20"/>
          <w:szCs w:val="20"/>
          <w:lang w:bidi="en-US"/>
        </w:rPr>
        <w:t>/palonosetron-J8655</w:t>
      </w:r>
      <w:r w:rsidR="004807F3">
        <w:rPr>
          <w:rFonts w:ascii="Futura" w:eastAsia="Calibri" w:hAnsi="Futura" w:cs="Calibri"/>
          <w:color w:val="000000"/>
          <w:sz w:val="20"/>
          <w:szCs w:val="20"/>
          <w:lang w:bidi="en-US"/>
        </w:rPr>
        <w:t xml:space="preserve">.  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w:t>
      </w:r>
      <w:proofErr w:type="spellStart"/>
      <w:r w:rsidR="00006F2B">
        <w:rPr>
          <w:rFonts w:ascii="Futura" w:eastAsia="Calibri" w:hAnsi="Futura" w:cs="Calibri"/>
          <w:color w:val="000000"/>
          <w:sz w:val="20"/>
          <w:szCs w:val="20"/>
          <w:lang w:bidi="en-US"/>
        </w:rPr>
        <w:t>eternalHealth</w:t>
      </w:r>
      <w:proofErr w:type="spellEnd"/>
      <w:r w:rsidR="00006F2B">
        <w:rPr>
          <w:rFonts w:ascii="Futura" w:eastAsia="Calibri" w:hAnsi="Futura" w:cs="Calibri"/>
          <w:color w:val="000000"/>
          <w:sz w:val="20"/>
          <w:szCs w:val="20"/>
          <w:lang w:bidi="en-US"/>
        </w:rPr>
        <w:t xml:space="preserve">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 xml:space="preserve">his information combined with a wholistic review of the members’ clinical profile will allow the </w:t>
      </w:r>
      <w:proofErr w:type="spellStart"/>
      <w:r w:rsidR="00A85AC1">
        <w:rPr>
          <w:rFonts w:ascii="Futura" w:eastAsia="Calibri" w:hAnsi="Futura" w:cs="Calibri"/>
          <w:color w:val="000000"/>
          <w:sz w:val="20"/>
          <w:szCs w:val="20"/>
          <w:lang w:bidi="en-US"/>
        </w:rPr>
        <w:t>eternalHealth</w:t>
      </w:r>
      <w:proofErr w:type="spellEnd"/>
      <w:r w:rsidR="00A85AC1">
        <w:rPr>
          <w:rFonts w:ascii="Futura" w:eastAsia="Calibri" w:hAnsi="Futura" w:cs="Calibri"/>
          <w:color w:val="000000"/>
          <w:sz w:val="20"/>
          <w:szCs w:val="20"/>
          <w:lang w:bidi="en-US"/>
        </w:rPr>
        <w:t xml:space="preserve"> team to arrive at a decision of clinical appropriateness and is not a guarantee of payment.</w:t>
      </w:r>
      <w:r w:rsidR="008B3057">
        <w:rPr>
          <w:rFonts w:ascii="Futura" w:eastAsia="Calibri" w:hAnsi="Futura" w:cs="Calibri"/>
          <w:color w:val="000000"/>
          <w:sz w:val="20"/>
          <w:szCs w:val="20"/>
          <w:lang w:bidi="en-US"/>
        </w:rPr>
        <w:t xml:space="preserve">  This policy crosses benefits, and portions attributed to the part D benefit will be handled by the PBM (at this time OptumRx) while those under part B will be handled by our TPA, </w:t>
      </w:r>
      <w:proofErr w:type="spellStart"/>
      <w:r w:rsidR="008B3057">
        <w:rPr>
          <w:rFonts w:ascii="Futura" w:eastAsia="Calibri" w:hAnsi="Futura" w:cs="Calibri"/>
          <w:color w:val="000000"/>
          <w:sz w:val="20"/>
          <w:szCs w:val="20"/>
          <w:lang w:bidi="en-US"/>
        </w:rPr>
        <w:t>nirvanaHealth</w:t>
      </w:r>
      <w:proofErr w:type="spellEnd"/>
      <w:r w:rsidR="008B3057">
        <w:rPr>
          <w:rFonts w:ascii="Futura" w:eastAsia="Calibri" w:hAnsi="Futura" w:cs="Calibri"/>
          <w:color w:val="000000"/>
          <w:sz w:val="20"/>
          <w:szCs w:val="20"/>
          <w:lang w:bidi="en-US"/>
        </w:rPr>
        <w:t>.</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49B81EDC" w14:textId="77777777" w:rsidR="00A21BE7" w:rsidRDefault="00A21BE7" w:rsidP="00554794">
      <w:pPr>
        <w:spacing w:after="0" w:line="240" w:lineRule="auto"/>
        <w:jc w:val="both"/>
        <w:rPr>
          <w:rFonts w:ascii="Futura" w:eastAsia="Calibri" w:hAnsi="Futura" w:cs="Calibri"/>
          <w:color w:val="000000"/>
          <w:sz w:val="20"/>
          <w:szCs w:val="20"/>
          <w:lang w:bidi="en-US"/>
        </w:rPr>
      </w:pPr>
    </w:p>
    <w:p w14:paraId="7CA101F2" w14:textId="77777777" w:rsidR="00A21BE7" w:rsidRDefault="00A21BE7" w:rsidP="00554794">
      <w:pPr>
        <w:spacing w:after="0" w:line="240" w:lineRule="auto"/>
        <w:jc w:val="both"/>
        <w:rPr>
          <w:rFonts w:ascii="Futura" w:eastAsia="Calibri" w:hAnsi="Futura" w:cs="Calibri"/>
          <w:color w:val="000000"/>
          <w:sz w:val="20"/>
          <w:szCs w:val="20"/>
          <w:lang w:bidi="en-US"/>
        </w:rPr>
      </w:pPr>
    </w:p>
    <w:p w14:paraId="4008522B" w14:textId="77777777" w:rsidR="00A21BE7" w:rsidRDefault="00A21BE7" w:rsidP="00554794">
      <w:pPr>
        <w:spacing w:after="0" w:line="240" w:lineRule="auto"/>
        <w:jc w:val="both"/>
        <w:rPr>
          <w:rFonts w:ascii="Futura" w:eastAsia="Calibri" w:hAnsi="Futura" w:cs="Calibri"/>
          <w:color w:val="000000"/>
          <w:sz w:val="20"/>
          <w:szCs w:val="20"/>
          <w:lang w:bidi="en-US"/>
        </w:rPr>
      </w:pPr>
    </w:p>
    <w:p w14:paraId="699127CD" w14:textId="77777777" w:rsidR="00A21BE7" w:rsidRDefault="00A21BE7" w:rsidP="00554794">
      <w:pPr>
        <w:spacing w:after="0" w:line="240" w:lineRule="auto"/>
        <w:jc w:val="both"/>
        <w:rPr>
          <w:rFonts w:ascii="Futura" w:eastAsia="Calibri" w:hAnsi="Futura" w:cs="Calibri"/>
          <w:color w:val="000000"/>
          <w:sz w:val="20"/>
          <w:szCs w:val="20"/>
          <w:lang w:bidi="en-US"/>
        </w:rPr>
      </w:pPr>
    </w:p>
    <w:p w14:paraId="1ADF2F42" w14:textId="77777777" w:rsidR="00A21BE7" w:rsidRDefault="00A21BE7" w:rsidP="00554794">
      <w:pPr>
        <w:spacing w:after="0" w:line="240" w:lineRule="auto"/>
        <w:jc w:val="both"/>
        <w:rPr>
          <w:rFonts w:ascii="Futura" w:eastAsia="Calibri" w:hAnsi="Futura" w:cs="Calibri"/>
          <w:color w:val="000000"/>
          <w:sz w:val="20"/>
          <w:szCs w:val="20"/>
          <w:lang w:bidi="en-US"/>
        </w:rPr>
      </w:pPr>
    </w:p>
    <w:p w14:paraId="3EC58921" w14:textId="77777777" w:rsidR="00A21BE7" w:rsidRDefault="00A21BE7" w:rsidP="00554794">
      <w:pPr>
        <w:spacing w:after="0" w:line="240" w:lineRule="auto"/>
        <w:jc w:val="both"/>
        <w:rPr>
          <w:rFonts w:ascii="Futura" w:eastAsia="Calibri" w:hAnsi="Futura" w:cs="Calibri"/>
          <w:color w:val="000000"/>
          <w:sz w:val="20"/>
          <w:szCs w:val="20"/>
          <w:lang w:bidi="en-US"/>
        </w:rPr>
      </w:pPr>
    </w:p>
    <w:p w14:paraId="1C951BA0" w14:textId="77777777" w:rsidR="004617A7" w:rsidRDefault="004617A7" w:rsidP="004617A7">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1F519BA0" w14:textId="77777777" w:rsidR="004617A7" w:rsidRDefault="004617A7" w:rsidP="004617A7">
      <w:pPr>
        <w:spacing w:after="0" w:line="240" w:lineRule="auto"/>
        <w:jc w:val="both"/>
        <w:rPr>
          <w:rFonts w:ascii="Futura" w:hAnsi="Futura"/>
          <w:b/>
          <w:bCs/>
          <w:color w:val="00AEDB"/>
          <w:sz w:val="24"/>
          <w:szCs w:val="24"/>
        </w:rPr>
      </w:pPr>
    </w:p>
    <w:p w14:paraId="18CBFC14" w14:textId="77777777" w:rsidR="004617A7" w:rsidRDefault="004617A7" w:rsidP="00495A45">
      <w:pPr>
        <w:pStyle w:val="ListParagraph"/>
        <w:numPr>
          <w:ilvl w:val="0"/>
          <w:numId w:val="16"/>
        </w:numPr>
        <w:spacing w:after="0" w:line="240" w:lineRule="auto"/>
        <w:jc w:val="both"/>
        <w:rPr>
          <w:rFonts w:ascii="Futura" w:hAnsi="Futura"/>
          <w:b/>
          <w:bCs/>
          <w:color w:val="00AEDB"/>
          <w:sz w:val="24"/>
          <w:szCs w:val="24"/>
        </w:rPr>
      </w:pPr>
      <w:r>
        <w:rPr>
          <w:rFonts w:ascii="Futura" w:hAnsi="Futura"/>
          <w:b/>
          <w:bCs/>
          <w:color w:val="00AEDB"/>
          <w:sz w:val="24"/>
          <w:szCs w:val="24"/>
        </w:rPr>
        <w:t>All agents injected in the office will require prior authorization review for medical necessity</w:t>
      </w:r>
    </w:p>
    <w:p w14:paraId="64925285" w14:textId="4B3426B9" w:rsidR="004617A7" w:rsidRDefault="004617A7" w:rsidP="00495A45">
      <w:pPr>
        <w:pStyle w:val="ListParagraph"/>
        <w:numPr>
          <w:ilvl w:val="0"/>
          <w:numId w:val="16"/>
        </w:numPr>
        <w:spacing w:after="0" w:line="240" w:lineRule="auto"/>
        <w:jc w:val="both"/>
        <w:rPr>
          <w:rFonts w:ascii="Futura" w:hAnsi="Futura"/>
          <w:b/>
          <w:bCs/>
          <w:color w:val="00AEDB"/>
          <w:sz w:val="24"/>
          <w:szCs w:val="24"/>
        </w:rPr>
      </w:pPr>
      <w:r>
        <w:rPr>
          <w:rFonts w:ascii="Futura" w:hAnsi="Futura"/>
          <w:b/>
          <w:bCs/>
          <w:color w:val="00AEDB"/>
          <w:sz w:val="24"/>
          <w:szCs w:val="24"/>
        </w:rPr>
        <w:t xml:space="preserve">Medical record must indicate maximized use of oral formulary agents via the pharmacy benefit found here: </w:t>
      </w:r>
      <w:hyperlink r:id="rId9" w:history="1">
        <w:r w:rsidRPr="009A00EB">
          <w:rPr>
            <w:rStyle w:val="Hyperlink"/>
            <w:rFonts w:ascii="Futura" w:hAnsi="Futura"/>
            <w:b/>
            <w:bCs/>
            <w:sz w:val="24"/>
            <w:szCs w:val="24"/>
          </w:rPr>
          <w:t>https://welcome.optumrx.com/rxexternal/external-prescription-drug-list?type=PDPClientFormulary&amp;var=X25ETEGD&amp;infoid=X25ETEGD&amp;clientCode=ETHOEDL</w:t>
        </w:r>
      </w:hyperlink>
      <w:r>
        <w:rPr>
          <w:rFonts w:ascii="Futura" w:hAnsi="Futura"/>
          <w:b/>
          <w:bCs/>
          <w:color w:val="00AEDB"/>
          <w:sz w:val="24"/>
          <w:szCs w:val="24"/>
        </w:rPr>
        <w:t xml:space="preserve"> </w:t>
      </w:r>
    </w:p>
    <w:p w14:paraId="5C74AE8D" w14:textId="23BAB5FA" w:rsidR="004617A7" w:rsidRPr="007C590C" w:rsidRDefault="004617A7" w:rsidP="00495A45">
      <w:pPr>
        <w:pStyle w:val="ListParagraph"/>
        <w:numPr>
          <w:ilvl w:val="1"/>
          <w:numId w:val="16"/>
        </w:numPr>
        <w:spacing w:after="0" w:line="240" w:lineRule="auto"/>
        <w:jc w:val="both"/>
        <w:rPr>
          <w:rFonts w:ascii="Futura" w:hAnsi="Futura"/>
          <w:b/>
          <w:bCs/>
          <w:color w:val="00AEDB"/>
          <w:sz w:val="24"/>
          <w:szCs w:val="24"/>
        </w:rPr>
      </w:pPr>
      <w:bookmarkStart w:id="0" w:name="_Hlk190865049"/>
      <w:r>
        <w:rPr>
          <w:rFonts w:ascii="Futura" w:hAnsi="Futura"/>
          <w:b/>
          <w:bCs/>
          <w:color w:val="00AEDB"/>
          <w:sz w:val="24"/>
          <w:szCs w:val="24"/>
        </w:rPr>
        <w:t xml:space="preserve">If the requested agent is for </w:t>
      </w:r>
      <w:bookmarkEnd w:id="0"/>
      <w:r w:rsidR="00976E77">
        <w:rPr>
          <w:rFonts w:ascii="Futura" w:hAnsi="Futura"/>
          <w:b/>
          <w:bCs/>
          <w:color w:val="00AEDB"/>
          <w:sz w:val="24"/>
          <w:szCs w:val="24"/>
        </w:rPr>
        <w:t xml:space="preserve">oral or injected </w:t>
      </w:r>
      <w:r w:rsidR="00976E77" w:rsidRPr="00976E77">
        <w:rPr>
          <w:rFonts w:ascii="Futura" w:hAnsi="Futura"/>
          <w:b/>
          <w:bCs/>
          <w:color w:val="00AEDB"/>
          <w:sz w:val="24"/>
          <w:szCs w:val="24"/>
        </w:rPr>
        <w:t xml:space="preserve">Aprepitant, </w:t>
      </w:r>
      <w:proofErr w:type="spellStart"/>
      <w:r w:rsidR="00976E77" w:rsidRPr="00976E77">
        <w:rPr>
          <w:rFonts w:ascii="Futura" w:hAnsi="Futura"/>
          <w:b/>
          <w:bCs/>
          <w:color w:val="00AEDB"/>
          <w:sz w:val="24"/>
          <w:szCs w:val="24"/>
        </w:rPr>
        <w:t>Fosaprepitant</w:t>
      </w:r>
      <w:proofErr w:type="spellEnd"/>
      <w:r w:rsidR="00976E77" w:rsidRPr="00976E77">
        <w:rPr>
          <w:rFonts w:ascii="Futura" w:hAnsi="Futura"/>
          <w:b/>
          <w:bCs/>
          <w:color w:val="00AEDB"/>
          <w:sz w:val="24"/>
          <w:szCs w:val="24"/>
        </w:rPr>
        <w:t xml:space="preserve">, </w:t>
      </w:r>
      <w:proofErr w:type="spellStart"/>
      <w:r w:rsidR="00976E77" w:rsidRPr="00976E77">
        <w:rPr>
          <w:rFonts w:ascii="Futura" w:hAnsi="Futura"/>
          <w:b/>
          <w:bCs/>
          <w:color w:val="00AEDB"/>
          <w:sz w:val="24"/>
          <w:szCs w:val="24"/>
        </w:rPr>
        <w:t>Granisetron</w:t>
      </w:r>
      <w:proofErr w:type="spellEnd"/>
      <w:r w:rsidR="00976E77" w:rsidRPr="00976E77">
        <w:rPr>
          <w:rFonts w:ascii="Futura" w:hAnsi="Futura"/>
          <w:b/>
          <w:bCs/>
          <w:color w:val="00AEDB"/>
          <w:sz w:val="24"/>
          <w:szCs w:val="24"/>
        </w:rPr>
        <w:t>, Ondansetron, Palonosetron</w:t>
      </w:r>
      <w:r>
        <w:rPr>
          <w:rFonts w:ascii="Futura" w:hAnsi="Futura"/>
          <w:b/>
          <w:bCs/>
          <w:color w:val="00AEDB"/>
          <w:sz w:val="24"/>
          <w:szCs w:val="24"/>
        </w:rPr>
        <w:t xml:space="preserve"> </w:t>
      </w:r>
      <w:r w:rsidR="00976E77">
        <w:rPr>
          <w:rFonts w:ascii="Futura" w:hAnsi="Futura"/>
          <w:b/>
          <w:bCs/>
          <w:color w:val="00AEDB"/>
          <w:sz w:val="24"/>
          <w:szCs w:val="24"/>
        </w:rPr>
        <w:t>via the medical benefit,</w:t>
      </w:r>
      <w:r>
        <w:rPr>
          <w:rFonts w:ascii="Futura" w:hAnsi="Futura"/>
          <w:b/>
          <w:bCs/>
          <w:color w:val="00AEDB"/>
          <w:sz w:val="24"/>
          <w:szCs w:val="24"/>
        </w:rPr>
        <w:t xml:space="preserve"> the use of an agent can be reviewed for medical necessity and use of prior pharmacy agents and may be approved.</w:t>
      </w:r>
    </w:p>
    <w:p w14:paraId="03594931" w14:textId="61CEC98D" w:rsidR="004617A7" w:rsidRDefault="004617A7" w:rsidP="00495A45">
      <w:pPr>
        <w:pStyle w:val="ListParagraph"/>
        <w:numPr>
          <w:ilvl w:val="1"/>
          <w:numId w:val="16"/>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requested agent is for </w:t>
      </w:r>
      <w:proofErr w:type="spellStart"/>
      <w:r w:rsidR="00B36550">
        <w:rPr>
          <w:rFonts w:ascii="Futura" w:hAnsi="Futura"/>
          <w:b/>
          <w:bCs/>
          <w:color w:val="00AEDB"/>
          <w:sz w:val="24"/>
          <w:szCs w:val="24"/>
        </w:rPr>
        <w:t>fosnetupitant</w:t>
      </w:r>
      <w:proofErr w:type="spellEnd"/>
      <w:r w:rsidR="00B36550">
        <w:rPr>
          <w:rFonts w:ascii="Futura" w:hAnsi="Futura"/>
          <w:b/>
          <w:bCs/>
          <w:color w:val="00AEDB"/>
          <w:sz w:val="24"/>
          <w:szCs w:val="24"/>
        </w:rPr>
        <w:t xml:space="preserve">/palonosetron or </w:t>
      </w:r>
      <w:proofErr w:type="spellStart"/>
      <w:r w:rsidR="00B36550">
        <w:rPr>
          <w:rFonts w:ascii="Futura" w:hAnsi="Futura"/>
          <w:b/>
          <w:bCs/>
          <w:color w:val="00AEDB"/>
          <w:sz w:val="24"/>
          <w:szCs w:val="24"/>
        </w:rPr>
        <w:t>netupitant</w:t>
      </w:r>
      <w:proofErr w:type="spellEnd"/>
      <w:r w:rsidR="00B36550">
        <w:rPr>
          <w:rFonts w:ascii="Futura" w:hAnsi="Futura"/>
          <w:b/>
          <w:bCs/>
          <w:color w:val="00AEDB"/>
          <w:sz w:val="24"/>
          <w:szCs w:val="24"/>
        </w:rPr>
        <w:t>/palonosetron</w:t>
      </w:r>
      <w:r>
        <w:rPr>
          <w:rFonts w:ascii="Futura" w:hAnsi="Futura"/>
          <w:b/>
          <w:bCs/>
          <w:color w:val="00AEDB"/>
          <w:sz w:val="24"/>
          <w:szCs w:val="24"/>
        </w:rPr>
        <w:t xml:space="preserve"> the case can be reviewed for medical necessity, the use of prior pharmacy agents, and trial and lack of clinical response to </w:t>
      </w:r>
      <w:r w:rsidR="00316CD7">
        <w:rPr>
          <w:rFonts w:ascii="Futura" w:hAnsi="Futura"/>
          <w:b/>
          <w:bCs/>
          <w:color w:val="00AEDB"/>
          <w:sz w:val="24"/>
          <w:szCs w:val="24"/>
        </w:rPr>
        <w:t xml:space="preserve">oral or injected </w:t>
      </w:r>
      <w:r w:rsidR="00316CD7" w:rsidRPr="00976E77">
        <w:rPr>
          <w:rFonts w:ascii="Futura" w:hAnsi="Futura"/>
          <w:b/>
          <w:bCs/>
          <w:color w:val="00AEDB"/>
          <w:sz w:val="24"/>
          <w:szCs w:val="24"/>
        </w:rPr>
        <w:t xml:space="preserve">Aprepitant, </w:t>
      </w:r>
      <w:proofErr w:type="spellStart"/>
      <w:r w:rsidR="00316CD7" w:rsidRPr="00976E77">
        <w:rPr>
          <w:rFonts w:ascii="Futura" w:hAnsi="Futura"/>
          <w:b/>
          <w:bCs/>
          <w:color w:val="00AEDB"/>
          <w:sz w:val="24"/>
          <w:szCs w:val="24"/>
        </w:rPr>
        <w:t>Fosaprepitant</w:t>
      </w:r>
      <w:proofErr w:type="spellEnd"/>
      <w:r w:rsidR="00316CD7" w:rsidRPr="00976E77">
        <w:rPr>
          <w:rFonts w:ascii="Futura" w:hAnsi="Futura"/>
          <w:b/>
          <w:bCs/>
          <w:color w:val="00AEDB"/>
          <w:sz w:val="24"/>
          <w:szCs w:val="24"/>
        </w:rPr>
        <w:t xml:space="preserve">, </w:t>
      </w:r>
      <w:proofErr w:type="spellStart"/>
      <w:r w:rsidR="00316CD7" w:rsidRPr="00976E77">
        <w:rPr>
          <w:rFonts w:ascii="Futura" w:hAnsi="Futura"/>
          <w:b/>
          <w:bCs/>
          <w:color w:val="00AEDB"/>
          <w:sz w:val="24"/>
          <w:szCs w:val="24"/>
        </w:rPr>
        <w:t>Granisetron</w:t>
      </w:r>
      <w:proofErr w:type="spellEnd"/>
      <w:r w:rsidR="00316CD7" w:rsidRPr="00976E77">
        <w:rPr>
          <w:rFonts w:ascii="Futura" w:hAnsi="Futura"/>
          <w:b/>
          <w:bCs/>
          <w:color w:val="00AEDB"/>
          <w:sz w:val="24"/>
          <w:szCs w:val="24"/>
        </w:rPr>
        <w:t>, Ondansetron, Palonosetron</w:t>
      </w:r>
      <w:r w:rsidR="00316CD7">
        <w:rPr>
          <w:rFonts w:ascii="Futura" w:hAnsi="Futura"/>
          <w:b/>
          <w:bCs/>
          <w:color w:val="00AEDB"/>
          <w:sz w:val="24"/>
          <w:szCs w:val="24"/>
        </w:rPr>
        <w:t xml:space="preserve"> via the medical benefit </w:t>
      </w:r>
      <w:r>
        <w:rPr>
          <w:rFonts w:ascii="Futura" w:hAnsi="Futura"/>
          <w:b/>
          <w:bCs/>
          <w:color w:val="00AEDB"/>
          <w:sz w:val="24"/>
          <w:szCs w:val="24"/>
        </w:rPr>
        <w:t>and may be approved.</w:t>
      </w:r>
    </w:p>
    <w:p w14:paraId="13599AD8" w14:textId="77777777" w:rsidR="004617A7" w:rsidRDefault="004617A7" w:rsidP="00495A45">
      <w:pPr>
        <w:pStyle w:val="ListParagraph"/>
        <w:numPr>
          <w:ilvl w:val="0"/>
          <w:numId w:val="16"/>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6F96133A" w14:textId="77777777" w:rsidR="004617A7" w:rsidRPr="00732065" w:rsidRDefault="004617A7" w:rsidP="00495A45">
      <w:pPr>
        <w:pStyle w:val="ListParagraph"/>
        <w:numPr>
          <w:ilvl w:val="1"/>
          <w:numId w:val="16"/>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6B6C9233" w14:textId="23477315" w:rsidR="004617A7" w:rsidRPr="00732065" w:rsidRDefault="004617A7" w:rsidP="00495A45">
      <w:pPr>
        <w:pStyle w:val="ListParagraph"/>
        <w:numPr>
          <w:ilvl w:val="1"/>
          <w:numId w:val="16"/>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9A5645">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6CA693CE" w14:textId="3F31B1BA" w:rsidR="00A21BE7" w:rsidRDefault="004617A7" w:rsidP="004617A7">
      <w:p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40F7BC0E" w14:textId="77777777" w:rsidR="004617A7" w:rsidRDefault="004617A7" w:rsidP="004617A7">
      <w:pPr>
        <w:spacing w:after="0" w:line="240" w:lineRule="auto"/>
        <w:jc w:val="both"/>
        <w:rPr>
          <w:rFonts w:ascii="Futura" w:hAnsi="Futura"/>
          <w:b/>
          <w:bCs/>
          <w:color w:val="00AEDB"/>
          <w:sz w:val="24"/>
          <w:szCs w:val="24"/>
        </w:rPr>
      </w:pPr>
    </w:p>
    <w:p w14:paraId="4D085817" w14:textId="3B2A9BC4"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495A45">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17A5F358" w14:textId="77777777" w:rsidR="00323429" w:rsidRDefault="00323429" w:rsidP="00323429">
      <w:pPr>
        <w:spacing w:after="0" w:line="240" w:lineRule="auto"/>
        <w:jc w:val="both"/>
        <w:rPr>
          <w:rFonts w:ascii="Futura" w:eastAsia="Calibri" w:hAnsi="Futura" w:cs="Calibri"/>
          <w:color w:val="000000"/>
          <w:sz w:val="20"/>
          <w:szCs w:val="20"/>
          <w:lang w:bidi="en-US"/>
        </w:rPr>
      </w:pPr>
    </w:p>
    <w:p w14:paraId="15BDFBEC" w14:textId="340BC730" w:rsidR="00255C58" w:rsidRDefault="00255C58" w:rsidP="00320403">
      <w:pPr>
        <w:spacing w:after="0" w:line="240" w:lineRule="auto"/>
        <w:rPr>
          <w:rFonts w:ascii="Futura" w:hAnsi="Futura"/>
          <w:b/>
          <w:bCs/>
          <w:color w:val="00AEDB"/>
          <w:sz w:val="24"/>
          <w:szCs w:val="24"/>
        </w:rPr>
      </w:pPr>
      <w:r>
        <w:rPr>
          <w:rFonts w:ascii="Futura" w:hAnsi="Futura"/>
          <w:b/>
          <w:bCs/>
          <w:color w:val="00AEDB"/>
          <w:sz w:val="24"/>
          <w:szCs w:val="24"/>
        </w:rPr>
        <w:t>Preferencing:</w:t>
      </w:r>
    </w:p>
    <w:p w14:paraId="366D9618" w14:textId="68C32224"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8B6898">
        <w:rPr>
          <w:rFonts w:ascii="Futura" w:hAnsi="Futura"/>
          <w:b/>
          <w:bCs/>
          <w:sz w:val="24"/>
          <w:szCs w:val="24"/>
        </w:rPr>
        <w:t>Oral formulary agents</w:t>
      </w:r>
      <w:r w:rsidR="004A7FF5">
        <w:rPr>
          <w:rFonts w:ascii="Futura" w:hAnsi="Futura"/>
          <w:b/>
          <w:bCs/>
          <w:sz w:val="24"/>
          <w:szCs w:val="24"/>
        </w:rPr>
        <w:t xml:space="preserve"> through pharmacy benefit</w:t>
      </w:r>
    </w:p>
    <w:p w14:paraId="6E9CE643" w14:textId="1EB09CAA"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w:t>
      </w:r>
      <w:bookmarkStart w:id="1" w:name="_Hlk190872462"/>
      <w:r w:rsidR="00A227F2">
        <w:rPr>
          <w:rFonts w:ascii="Futura" w:hAnsi="Futura"/>
          <w:b/>
          <w:bCs/>
          <w:sz w:val="24"/>
          <w:szCs w:val="24"/>
        </w:rPr>
        <w:t xml:space="preserve">Aprepitant, </w:t>
      </w:r>
      <w:proofErr w:type="spellStart"/>
      <w:r w:rsidR="002E1B57">
        <w:rPr>
          <w:rFonts w:ascii="Futura" w:hAnsi="Futura"/>
          <w:b/>
          <w:bCs/>
          <w:sz w:val="24"/>
          <w:szCs w:val="24"/>
        </w:rPr>
        <w:t>Fosaprepitant</w:t>
      </w:r>
      <w:proofErr w:type="spellEnd"/>
      <w:r w:rsidR="002E1B57">
        <w:rPr>
          <w:rFonts w:ascii="Futura" w:hAnsi="Futura"/>
          <w:b/>
          <w:bCs/>
          <w:sz w:val="24"/>
          <w:szCs w:val="24"/>
        </w:rPr>
        <w:t xml:space="preserve">, </w:t>
      </w:r>
      <w:proofErr w:type="spellStart"/>
      <w:r w:rsidR="002E1B57">
        <w:rPr>
          <w:rFonts w:ascii="Futura" w:hAnsi="Futura"/>
          <w:b/>
          <w:bCs/>
          <w:sz w:val="24"/>
          <w:szCs w:val="24"/>
        </w:rPr>
        <w:t>Granisetron</w:t>
      </w:r>
      <w:proofErr w:type="spellEnd"/>
      <w:r w:rsidR="00D23BDB">
        <w:rPr>
          <w:rFonts w:ascii="Futura" w:hAnsi="Futura"/>
          <w:b/>
          <w:bCs/>
          <w:sz w:val="24"/>
          <w:szCs w:val="24"/>
        </w:rPr>
        <w:t>, Ondansetron, Palonosetron</w:t>
      </w:r>
      <w:bookmarkEnd w:id="1"/>
      <w:r w:rsidR="00D23BDB">
        <w:rPr>
          <w:rFonts w:ascii="Futura" w:hAnsi="Futura"/>
          <w:b/>
          <w:bCs/>
          <w:sz w:val="24"/>
          <w:szCs w:val="24"/>
        </w:rPr>
        <w:t xml:space="preserve"> (oral or injectable through </w:t>
      </w:r>
      <w:r w:rsidR="002A4D5F">
        <w:rPr>
          <w:rFonts w:ascii="Futura" w:hAnsi="Futura"/>
          <w:b/>
          <w:bCs/>
          <w:sz w:val="24"/>
          <w:szCs w:val="24"/>
        </w:rPr>
        <w:t>medical</w:t>
      </w:r>
      <w:r w:rsidR="00D23BDB">
        <w:rPr>
          <w:rFonts w:ascii="Futura" w:hAnsi="Futura"/>
          <w:b/>
          <w:bCs/>
          <w:sz w:val="24"/>
          <w:szCs w:val="24"/>
        </w:rPr>
        <w:t xml:space="preserve"> benefit)</w:t>
      </w:r>
    </w:p>
    <w:p w14:paraId="1887478B" w14:textId="607B3738" w:rsidR="00AE372C" w:rsidRPr="00CD2097" w:rsidRDefault="00AE372C" w:rsidP="00320403">
      <w:pPr>
        <w:spacing w:after="0" w:line="240" w:lineRule="auto"/>
        <w:rPr>
          <w:rFonts w:ascii="Futura" w:hAnsi="Futura"/>
          <w:sz w:val="24"/>
          <w:szCs w:val="24"/>
        </w:rPr>
      </w:pPr>
      <w:r>
        <w:rPr>
          <w:rFonts w:ascii="Futura" w:hAnsi="Futura"/>
          <w:b/>
          <w:bCs/>
          <w:sz w:val="24"/>
          <w:szCs w:val="24"/>
        </w:rPr>
        <w:t xml:space="preserve">Tertiary Agents: </w:t>
      </w:r>
      <w:proofErr w:type="spellStart"/>
      <w:r w:rsidR="00A227F2">
        <w:rPr>
          <w:rFonts w:ascii="Futura" w:hAnsi="Futura"/>
          <w:b/>
          <w:bCs/>
          <w:sz w:val="24"/>
          <w:szCs w:val="24"/>
        </w:rPr>
        <w:t>Fosnetupitant</w:t>
      </w:r>
      <w:proofErr w:type="spellEnd"/>
      <w:r w:rsidR="00A227F2">
        <w:rPr>
          <w:rFonts w:ascii="Futura" w:hAnsi="Futura"/>
          <w:b/>
          <w:bCs/>
          <w:sz w:val="24"/>
          <w:szCs w:val="24"/>
        </w:rPr>
        <w:t xml:space="preserve">/palonosetron, </w:t>
      </w:r>
      <w:proofErr w:type="spellStart"/>
      <w:r w:rsidR="00A227F2">
        <w:rPr>
          <w:rFonts w:ascii="Futura" w:hAnsi="Futura"/>
          <w:b/>
          <w:bCs/>
          <w:sz w:val="24"/>
          <w:szCs w:val="24"/>
        </w:rPr>
        <w:t>netupitant</w:t>
      </w:r>
      <w:proofErr w:type="spellEnd"/>
      <w:r w:rsidR="00A227F2">
        <w:rPr>
          <w:rFonts w:ascii="Futura" w:hAnsi="Futura"/>
          <w:b/>
          <w:bCs/>
          <w:sz w:val="24"/>
          <w:szCs w:val="24"/>
        </w:rPr>
        <w:t>/</w:t>
      </w:r>
      <w:proofErr w:type="spellStart"/>
      <w:r w:rsidR="00A227F2">
        <w:rPr>
          <w:rFonts w:ascii="Futura" w:hAnsi="Futura"/>
          <w:b/>
          <w:bCs/>
          <w:sz w:val="24"/>
          <w:szCs w:val="24"/>
        </w:rPr>
        <w:t>palonestron</w:t>
      </w:r>
      <w:proofErr w:type="spellEnd"/>
    </w:p>
    <w:p w14:paraId="6CA5A894" w14:textId="77777777" w:rsidR="00255C58" w:rsidRDefault="00255C58"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65EE4548" w14:textId="229EAB89" w:rsidR="003E1B92" w:rsidRPr="00A44BB3" w:rsidRDefault="003E1B92" w:rsidP="003E1B92">
      <w:pPr>
        <w:spacing w:after="0" w:line="240" w:lineRule="auto"/>
        <w:jc w:val="both"/>
        <w:rPr>
          <w:rFonts w:ascii="Futura" w:eastAsia="Calibri" w:hAnsi="Futura" w:cs="Calibri"/>
          <w:b/>
          <w:bCs/>
          <w:color w:val="000000"/>
          <w:sz w:val="20"/>
          <w:szCs w:val="20"/>
          <w:lang w:bidi="en-US"/>
        </w:rPr>
      </w:pPr>
      <w:r w:rsidRPr="00467FD5">
        <w:rPr>
          <w:rFonts w:ascii="Futura" w:eastAsia="Calibri" w:hAnsi="Futura" w:cs="Calibri"/>
          <w:b/>
          <w:bCs/>
          <w:color w:val="000000"/>
          <w:sz w:val="20"/>
          <w:szCs w:val="20"/>
          <w:lang w:bidi="en-US"/>
        </w:rPr>
        <w:t xml:space="preserve">HCPCS: </w:t>
      </w:r>
      <w:r w:rsidR="00A44BB3" w:rsidRPr="00A44BB3">
        <w:rPr>
          <w:rFonts w:ascii="Futura" w:eastAsia="Calibri" w:hAnsi="Futura" w:cs="Calibri"/>
          <w:b/>
          <w:bCs/>
          <w:color w:val="000000"/>
          <w:sz w:val="20"/>
          <w:szCs w:val="20"/>
          <w:lang w:bidi="en-US"/>
        </w:rPr>
        <w:t>J0185, J1453, J1454, J1456, J1626, J1627, J2405, J2469, J8501, J8655, Q0162</w:t>
      </w:r>
    </w:p>
    <w:p w14:paraId="5780A820" w14:textId="000FF7A6" w:rsidR="009815F3" w:rsidRDefault="009815F3" w:rsidP="00554794">
      <w:pPr>
        <w:spacing w:after="0" w:line="240" w:lineRule="auto"/>
        <w:jc w:val="both"/>
        <w:rPr>
          <w:rFonts w:ascii="Futura" w:eastAsia="Calibri" w:hAnsi="Futura" w:cs="Calibri"/>
          <w:color w:val="000000"/>
          <w:sz w:val="20"/>
          <w:szCs w:val="20"/>
          <w:lang w:bidi="en-US"/>
        </w:rPr>
      </w:pPr>
    </w:p>
    <w:p w14:paraId="7783A61E" w14:textId="0439104C" w:rsidR="00C836FB" w:rsidRPr="00C836FB" w:rsidRDefault="00C836FB" w:rsidP="00C836FB">
      <w:p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Oral Antiemetic Drugs (Replacement for Intravenous Antiemetics) may be covered for </w:t>
      </w:r>
      <w:r w:rsidR="002A4D5F" w:rsidRPr="00C836FB">
        <w:rPr>
          <w:rFonts w:ascii="Futura" w:eastAsia="Calibri" w:hAnsi="Futura" w:cs="Calibri"/>
          <w:b/>
          <w:bCs/>
          <w:color w:val="000000"/>
          <w:sz w:val="20"/>
          <w:szCs w:val="20"/>
          <w:lang w:bidi="en-US"/>
        </w:rPr>
        <w:t>ALL</w:t>
      </w:r>
      <w:r w:rsidRPr="00C836FB">
        <w:rPr>
          <w:rFonts w:ascii="Futura" w:eastAsia="Calibri" w:hAnsi="Futura" w:cs="Calibri"/>
          <w:color w:val="000000"/>
          <w:sz w:val="20"/>
          <w:szCs w:val="20"/>
          <w:lang w:bidi="en-US"/>
        </w:rPr>
        <w:t xml:space="preserve"> the following:</w:t>
      </w:r>
    </w:p>
    <w:p w14:paraId="1088C323" w14:textId="329C875D" w:rsidR="00C836FB" w:rsidRPr="00C836FB" w:rsidRDefault="00C836FB" w:rsidP="00495A45">
      <w:pPr>
        <w:numPr>
          <w:ilvl w:val="0"/>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lastRenderedPageBreak/>
        <w:t>Oral antiemetic 3-drug combination consists of FDA-approved oral NK-1 antagonist in combination with oral 5HT3 antagonist and dexamethasone (J8540).</w:t>
      </w:r>
      <w:r w:rsidR="002A4D5F" w:rsidRPr="00C836FB">
        <w:rPr>
          <w:rFonts w:ascii="Futura" w:eastAsia="Calibri" w:hAnsi="Futura" w:cs="Calibri"/>
          <w:color w:val="000000"/>
          <w:sz w:val="20"/>
          <w:szCs w:val="20"/>
          <w:lang w:bidi="en-US"/>
        </w:rPr>
        <w:t xml:space="preserve"> </w:t>
      </w:r>
    </w:p>
    <w:p w14:paraId="69B2E177" w14:textId="77777777" w:rsidR="00C836FB" w:rsidRPr="00C836FB" w:rsidRDefault="00C836FB" w:rsidP="00495A45">
      <w:pPr>
        <w:numPr>
          <w:ilvl w:val="0"/>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Statutory coverage criteria are met.</w:t>
      </w:r>
    </w:p>
    <w:p w14:paraId="0E808493" w14:textId="10B58BEF" w:rsidR="00C836FB" w:rsidRPr="00C836FB" w:rsidRDefault="00C836FB" w:rsidP="00495A45">
      <w:pPr>
        <w:numPr>
          <w:ilvl w:val="0"/>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Beneficiary receiving anti-cancer chemotherapeutic agent, as indicated by </w:t>
      </w:r>
      <w:r w:rsidRPr="00C836FB">
        <w:rPr>
          <w:rFonts w:ascii="Futura" w:eastAsia="Calibri" w:hAnsi="Futura" w:cs="Calibri"/>
          <w:b/>
          <w:bCs/>
          <w:color w:val="000000"/>
          <w:sz w:val="20"/>
          <w:szCs w:val="20"/>
          <w:lang w:bidi="en-US"/>
        </w:rPr>
        <w:t>1 or more</w:t>
      </w:r>
      <w:r w:rsidRPr="00C836FB">
        <w:rPr>
          <w:rFonts w:ascii="Futura" w:eastAsia="Calibri" w:hAnsi="Futura" w:cs="Calibri"/>
          <w:color w:val="000000"/>
          <w:sz w:val="20"/>
          <w:szCs w:val="20"/>
          <w:lang w:bidi="en-US"/>
        </w:rPr>
        <w:t> of the following:</w:t>
      </w:r>
    </w:p>
    <w:p w14:paraId="736AB5EB"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Alemtuzumab</w:t>
      </w:r>
    </w:p>
    <w:p w14:paraId="5FD1F340"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Azacitidine</w:t>
      </w:r>
    </w:p>
    <w:p w14:paraId="146DDA42"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proofErr w:type="spellStart"/>
      <w:r w:rsidRPr="00C836FB">
        <w:rPr>
          <w:rFonts w:ascii="Futura" w:eastAsia="Calibri" w:hAnsi="Futura" w:cs="Calibri"/>
          <w:color w:val="000000"/>
          <w:sz w:val="20"/>
          <w:szCs w:val="20"/>
          <w:lang w:bidi="en-US"/>
        </w:rPr>
        <w:t>Bendamustine</w:t>
      </w:r>
      <w:proofErr w:type="spellEnd"/>
    </w:p>
    <w:p w14:paraId="555AE10E"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Carboplatin</w:t>
      </w:r>
    </w:p>
    <w:p w14:paraId="1A78B014"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proofErr w:type="spellStart"/>
      <w:r w:rsidRPr="00C836FB">
        <w:rPr>
          <w:rFonts w:ascii="Futura" w:eastAsia="Calibri" w:hAnsi="Futura" w:cs="Calibri"/>
          <w:color w:val="000000"/>
          <w:sz w:val="20"/>
          <w:szCs w:val="20"/>
          <w:lang w:bidi="en-US"/>
        </w:rPr>
        <w:t>Carmustine</w:t>
      </w:r>
      <w:proofErr w:type="spellEnd"/>
    </w:p>
    <w:p w14:paraId="2307A883"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Cisplatin</w:t>
      </w:r>
    </w:p>
    <w:p w14:paraId="77D87ABC"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Clofarabine</w:t>
      </w:r>
    </w:p>
    <w:p w14:paraId="46E973A2"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Cyclophosphamide</w:t>
      </w:r>
    </w:p>
    <w:p w14:paraId="0505F914"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Cytarabine</w:t>
      </w:r>
    </w:p>
    <w:p w14:paraId="513124F8"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Dacarbazine</w:t>
      </w:r>
    </w:p>
    <w:p w14:paraId="65641A7A"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Daunorubicin</w:t>
      </w:r>
    </w:p>
    <w:p w14:paraId="4C58B919"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Doxorubicin</w:t>
      </w:r>
    </w:p>
    <w:p w14:paraId="02C1DAD0"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Epirubicin</w:t>
      </w:r>
    </w:p>
    <w:p w14:paraId="61F41229"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Idarubicin</w:t>
      </w:r>
    </w:p>
    <w:p w14:paraId="6B699C5D"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proofErr w:type="spellStart"/>
      <w:r w:rsidRPr="00C836FB">
        <w:rPr>
          <w:rFonts w:ascii="Futura" w:eastAsia="Calibri" w:hAnsi="Futura" w:cs="Calibri"/>
          <w:color w:val="000000"/>
          <w:sz w:val="20"/>
          <w:szCs w:val="20"/>
          <w:lang w:bidi="en-US"/>
        </w:rPr>
        <w:t>Ifosfamide</w:t>
      </w:r>
      <w:proofErr w:type="spellEnd"/>
    </w:p>
    <w:p w14:paraId="4DA09B16"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Irinotecan</w:t>
      </w:r>
    </w:p>
    <w:p w14:paraId="256A8C36"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proofErr w:type="spellStart"/>
      <w:r w:rsidRPr="00C836FB">
        <w:rPr>
          <w:rFonts w:ascii="Futura" w:eastAsia="Calibri" w:hAnsi="Futura" w:cs="Calibri"/>
          <w:color w:val="000000"/>
          <w:sz w:val="20"/>
          <w:szCs w:val="20"/>
          <w:lang w:bidi="en-US"/>
        </w:rPr>
        <w:t>Lomustine</w:t>
      </w:r>
      <w:proofErr w:type="spellEnd"/>
    </w:p>
    <w:p w14:paraId="0391B8B5"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Mechlorethamine</w:t>
      </w:r>
    </w:p>
    <w:p w14:paraId="08679701"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r w:rsidRPr="00C836FB">
        <w:rPr>
          <w:rFonts w:ascii="Futura" w:eastAsia="Calibri" w:hAnsi="Futura" w:cs="Calibri"/>
          <w:color w:val="000000"/>
          <w:sz w:val="20"/>
          <w:szCs w:val="20"/>
          <w:lang w:bidi="en-US"/>
        </w:rPr>
        <w:t>Oxaliplatin</w:t>
      </w:r>
    </w:p>
    <w:p w14:paraId="0918AB07" w14:textId="77777777" w:rsidR="00C836FB" w:rsidRPr="00C836FB" w:rsidRDefault="00C836FB" w:rsidP="00495A45">
      <w:pPr>
        <w:numPr>
          <w:ilvl w:val="1"/>
          <w:numId w:val="4"/>
        </w:numPr>
        <w:spacing w:after="0" w:line="240" w:lineRule="auto"/>
        <w:jc w:val="both"/>
        <w:rPr>
          <w:rFonts w:ascii="Futura" w:eastAsia="Calibri" w:hAnsi="Futura" w:cs="Calibri"/>
          <w:color w:val="000000"/>
          <w:sz w:val="20"/>
          <w:szCs w:val="20"/>
          <w:lang w:bidi="en-US"/>
        </w:rPr>
      </w:pPr>
      <w:proofErr w:type="spellStart"/>
      <w:r w:rsidRPr="00C836FB">
        <w:rPr>
          <w:rFonts w:ascii="Futura" w:eastAsia="Calibri" w:hAnsi="Futura" w:cs="Calibri"/>
          <w:color w:val="000000"/>
          <w:sz w:val="20"/>
          <w:szCs w:val="20"/>
          <w:lang w:bidi="en-US"/>
        </w:rPr>
        <w:t>Streptozocin</w:t>
      </w:r>
      <w:proofErr w:type="spellEnd"/>
    </w:p>
    <w:p w14:paraId="7E4CB5A7" w14:textId="77777777" w:rsidR="00A44BB3" w:rsidRDefault="00A44BB3" w:rsidP="00554794">
      <w:pPr>
        <w:spacing w:after="0" w:line="240" w:lineRule="auto"/>
        <w:jc w:val="both"/>
        <w:rPr>
          <w:rFonts w:ascii="Futura" w:eastAsia="Calibri" w:hAnsi="Futura" w:cs="Calibri"/>
          <w:color w:val="000000"/>
          <w:sz w:val="20"/>
          <w:szCs w:val="20"/>
          <w:lang w:bidi="en-US"/>
        </w:rPr>
      </w:pPr>
    </w:p>
    <w:p w14:paraId="1838BA3A" w14:textId="46281DE0" w:rsid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Oral Antiemetic Drugs are covered under the Oral Antiemetic Drug benefit (Social Security Act §1861(s)(2)(T)). </w:t>
      </w:r>
      <w:r w:rsidR="002A4D5F" w:rsidRPr="00A21EF9">
        <w:rPr>
          <w:rFonts w:ascii="Futura" w:eastAsia="Calibri" w:hAnsi="Futura" w:cs="Calibri"/>
          <w:color w:val="000000"/>
          <w:sz w:val="20"/>
          <w:szCs w:val="20"/>
          <w:lang w:bidi="en-US"/>
        </w:rPr>
        <w:t>For</w:t>
      </w:r>
      <w:r w:rsidRPr="00A21EF9">
        <w:rPr>
          <w:rFonts w:ascii="Futura" w:eastAsia="Calibri" w:hAnsi="Futura" w:cs="Calibri"/>
          <w:color w:val="000000"/>
          <w:sz w:val="20"/>
          <w:szCs w:val="20"/>
          <w:lang w:bidi="en-US"/>
        </w:rPr>
        <w:t xml:space="preserve"> a beneficiary’s oral antiemetic drugs to be eligible for reimbursement the reasonable and necessary (R&amp;N) requirements set out in the related Local Coverage Determination must be met. In addition, there are specific statutory payment policy </w:t>
      </w:r>
      <w:r w:rsidR="002A4D5F" w:rsidRPr="00A21EF9">
        <w:rPr>
          <w:rFonts w:ascii="Futura" w:eastAsia="Calibri" w:hAnsi="Futura" w:cs="Calibri"/>
          <w:color w:val="000000"/>
          <w:sz w:val="20"/>
          <w:szCs w:val="20"/>
          <w:lang w:bidi="en-US"/>
        </w:rPr>
        <w:t>requirements</w:t>
      </w:r>
      <w:r w:rsidRPr="00A21EF9">
        <w:rPr>
          <w:rFonts w:ascii="Futura" w:eastAsia="Calibri" w:hAnsi="Futura" w:cs="Calibri"/>
          <w:color w:val="000000"/>
          <w:sz w:val="20"/>
          <w:szCs w:val="20"/>
          <w:lang w:bidi="en-US"/>
        </w:rPr>
        <w:t xml:space="preserve"> discussed </w:t>
      </w:r>
      <w:r w:rsidR="00A71B09" w:rsidRPr="00A21EF9">
        <w:rPr>
          <w:rFonts w:ascii="Futura" w:eastAsia="Calibri" w:hAnsi="Futura" w:cs="Calibri"/>
          <w:color w:val="000000"/>
          <w:sz w:val="20"/>
          <w:szCs w:val="20"/>
          <w:lang w:bidi="en-US"/>
        </w:rPr>
        <w:t>below</w:t>
      </w:r>
      <w:r w:rsidRPr="00A21EF9">
        <w:rPr>
          <w:rFonts w:ascii="Futura" w:eastAsia="Calibri" w:hAnsi="Futura" w:cs="Calibri"/>
          <w:color w:val="000000"/>
          <w:sz w:val="20"/>
          <w:szCs w:val="20"/>
          <w:lang w:bidi="en-US"/>
        </w:rPr>
        <w:t xml:space="preserve"> that also must be met.</w:t>
      </w:r>
    </w:p>
    <w:p w14:paraId="617ECF94" w14:textId="77777777" w:rsidR="002A4D5F" w:rsidRPr="00A21EF9" w:rsidRDefault="002A4D5F" w:rsidP="00A21EF9">
      <w:pPr>
        <w:spacing w:after="0" w:line="240" w:lineRule="auto"/>
        <w:jc w:val="both"/>
        <w:rPr>
          <w:rFonts w:ascii="Futura" w:eastAsia="Calibri" w:hAnsi="Futura" w:cs="Calibri"/>
          <w:color w:val="000000"/>
          <w:sz w:val="20"/>
          <w:szCs w:val="20"/>
          <w:lang w:bidi="en-US"/>
        </w:rPr>
      </w:pPr>
    </w:p>
    <w:p w14:paraId="534D0442" w14:textId="77777777"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For an item to be covered by Medicare, a written signed and dated order must be received by the supplier before a claim is submitted. If the supplier bills for an item addressed in this policy without first receiving the completed order, the item will be denied as non-covered.</w:t>
      </w:r>
    </w:p>
    <w:p w14:paraId="4CA932DD" w14:textId="4AF6E82E"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An oral antiemetic drug (J8650, J8670, Q0155, Q0161, Q0162, Q0163, Q0164, Q0166, Q0167, Q0169, Q0173, Q0174, Q0175, Q0177, Q0180, Q0181) is covered if </w:t>
      </w:r>
      <w:r w:rsidR="002A4D5F" w:rsidRPr="00A21EF9">
        <w:rPr>
          <w:rFonts w:ascii="Futura" w:eastAsia="Calibri" w:hAnsi="Futura" w:cs="Calibri"/>
          <w:color w:val="000000"/>
          <w:sz w:val="20"/>
          <w:szCs w:val="20"/>
          <w:lang w:bidi="en-US"/>
        </w:rPr>
        <w:t>all</w:t>
      </w:r>
      <w:r w:rsidRPr="00A21EF9">
        <w:rPr>
          <w:rFonts w:ascii="Futura" w:eastAsia="Calibri" w:hAnsi="Futura" w:cs="Calibri"/>
          <w:color w:val="000000"/>
          <w:sz w:val="20"/>
          <w:szCs w:val="20"/>
          <w:lang w:bidi="en-US"/>
        </w:rPr>
        <w:t xml:space="preserve"> the following criteria (1-4) are met:</w:t>
      </w:r>
    </w:p>
    <w:p w14:paraId="12112ECA" w14:textId="77777777" w:rsidR="00A21EF9" w:rsidRPr="00A21EF9" w:rsidRDefault="00A21EF9" w:rsidP="00495A45">
      <w:pPr>
        <w:numPr>
          <w:ilvl w:val="0"/>
          <w:numId w:val="5"/>
        </w:num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The drug has been approved by the Food and Drug Administration (FDA) for use as an antiemetic, and</w:t>
      </w:r>
    </w:p>
    <w:p w14:paraId="383CC171" w14:textId="77777777" w:rsidR="00A21EF9" w:rsidRPr="00A21EF9" w:rsidRDefault="00A21EF9" w:rsidP="00495A45">
      <w:pPr>
        <w:numPr>
          <w:ilvl w:val="0"/>
          <w:numId w:val="5"/>
        </w:num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The drug has been ordered by the treating practitioner as part of a cancer chemotherapy regimen, and</w:t>
      </w:r>
    </w:p>
    <w:p w14:paraId="0DD5DF86" w14:textId="77777777" w:rsidR="00A21EF9" w:rsidRPr="00A21EF9" w:rsidRDefault="00A21EF9" w:rsidP="00495A45">
      <w:pPr>
        <w:numPr>
          <w:ilvl w:val="0"/>
          <w:numId w:val="5"/>
        </w:num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The drug is used as a full therapeutic replacement for an intravenous antiemetic drug that would otherwise have been administered at the time of the chemotherapy treatment, and</w:t>
      </w:r>
    </w:p>
    <w:p w14:paraId="60ECD87E" w14:textId="77777777" w:rsidR="00A21EF9" w:rsidRPr="00A21EF9" w:rsidRDefault="00A21EF9" w:rsidP="00495A45">
      <w:pPr>
        <w:numPr>
          <w:ilvl w:val="0"/>
          <w:numId w:val="5"/>
        </w:num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Oral anti-emetic drugs administered with a particular chemotherapy treatment must be initiated within two hours of the administration of the chemotherapeutic agent and may be continued for a period not to exceed 48 hours from that time.</w:t>
      </w:r>
    </w:p>
    <w:p w14:paraId="793A382E" w14:textId="1E60CCFB"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Criterion 3 is not met when the chemotherapy drug is an oral drug or when the chemotherapy drug is administered intravenously in the home setting because the type and dosage of chemotherapy drugs administered in these situations do not require intravenous antiemetic drugs. If </w:t>
      </w:r>
      <w:r w:rsidR="002A4D5F" w:rsidRPr="00A21EF9">
        <w:rPr>
          <w:rFonts w:ascii="Futura" w:eastAsia="Calibri" w:hAnsi="Futura" w:cs="Calibri"/>
          <w:color w:val="000000"/>
          <w:sz w:val="20"/>
          <w:szCs w:val="20"/>
          <w:lang w:bidi="en-US"/>
        </w:rPr>
        <w:t>all</w:t>
      </w:r>
      <w:r w:rsidRPr="00A21EF9">
        <w:rPr>
          <w:rFonts w:ascii="Futura" w:eastAsia="Calibri" w:hAnsi="Futura" w:cs="Calibri"/>
          <w:color w:val="000000"/>
          <w:sz w:val="20"/>
          <w:szCs w:val="20"/>
          <w:lang w:bidi="en-US"/>
        </w:rPr>
        <w:t xml:space="preserve"> the criteria are not met, the oral antiemetic drug will be denied as non-covered.</w:t>
      </w:r>
    </w:p>
    <w:p w14:paraId="498A37D1" w14:textId="38F74637"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A 3-drug combination regimen consisting of an NK-1 antagonist, a 5HT3 antagonist and dexamethasone is covered when </w:t>
      </w:r>
      <w:r w:rsidR="002A4D5F" w:rsidRPr="00A21EF9">
        <w:rPr>
          <w:rFonts w:ascii="Futura" w:eastAsia="Calibri" w:hAnsi="Futura" w:cs="Calibri"/>
          <w:color w:val="000000"/>
          <w:sz w:val="20"/>
          <w:szCs w:val="20"/>
          <w:lang w:bidi="en-US"/>
        </w:rPr>
        <w:t>all</w:t>
      </w:r>
      <w:r w:rsidRPr="00A21EF9">
        <w:rPr>
          <w:rFonts w:ascii="Futura" w:eastAsia="Calibri" w:hAnsi="Futura" w:cs="Calibri"/>
          <w:color w:val="000000"/>
          <w:sz w:val="20"/>
          <w:szCs w:val="20"/>
          <w:lang w:bidi="en-US"/>
        </w:rPr>
        <w:t xml:space="preserve"> the criteria above (1-4) are </w:t>
      </w:r>
      <w:r w:rsidR="002A4D5F" w:rsidRPr="00A21EF9">
        <w:rPr>
          <w:rFonts w:ascii="Futura" w:eastAsia="Calibri" w:hAnsi="Futura" w:cs="Calibri"/>
          <w:color w:val="000000"/>
          <w:sz w:val="20"/>
          <w:szCs w:val="20"/>
          <w:lang w:bidi="en-US"/>
        </w:rPr>
        <w:t>met,</w:t>
      </w:r>
      <w:r w:rsidRPr="00A21EF9">
        <w:rPr>
          <w:rFonts w:ascii="Futura" w:eastAsia="Calibri" w:hAnsi="Futura" w:cs="Calibri"/>
          <w:color w:val="000000"/>
          <w:sz w:val="20"/>
          <w:szCs w:val="20"/>
          <w:lang w:bidi="en-US"/>
        </w:rPr>
        <w:t xml:space="preserve"> and all 3 drugs are given in combination.</w:t>
      </w:r>
    </w:p>
    <w:p w14:paraId="568C378C" w14:textId="77777777"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lastRenderedPageBreak/>
        <w:t>If the NK-1 antagonist and/or dexamethasone is given as an oral anti-emetic outside of the 3-drug regimen, claims will be denied as statutorily non-covered, no benefit.</w:t>
      </w:r>
    </w:p>
    <w:p w14:paraId="5C3BE1E8" w14:textId="77777777"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There are three NK-1 antagonists approved for this use, Aprepitant (J8501), </w:t>
      </w:r>
      <w:proofErr w:type="spellStart"/>
      <w:r w:rsidRPr="00A21EF9">
        <w:rPr>
          <w:rFonts w:ascii="Futura" w:eastAsia="Calibri" w:hAnsi="Futura" w:cs="Calibri"/>
          <w:color w:val="000000"/>
          <w:sz w:val="20"/>
          <w:szCs w:val="20"/>
          <w:lang w:bidi="en-US"/>
        </w:rPr>
        <w:t>rolapitant</w:t>
      </w:r>
      <w:proofErr w:type="spellEnd"/>
      <w:r w:rsidRPr="00A21EF9">
        <w:rPr>
          <w:rFonts w:ascii="Futura" w:eastAsia="Calibri" w:hAnsi="Futura" w:cs="Calibri"/>
          <w:color w:val="000000"/>
          <w:sz w:val="20"/>
          <w:szCs w:val="20"/>
          <w:lang w:bidi="en-US"/>
        </w:rPr>
        <w:t xml:space="preserve"> (J8670) and </w:t>
      </w:r>
      <w:proofErr w:type="spellStart"/>
      <w:r w:rsidRPr="00A21EF9">
        <w:rPr>
          <w:rFonts w:ascii="Futura" w:eastAsia="Calibri" w:hAnsi="Futura" w:cs="Calibri"/>
          <w:color w:val="000000"/>
          <w:sz w:val="20"/>
          <w:szCs w:val="20"/>
          <w:lang w:bidi="en-US"/>
        </w:rPr>
        <w:t>netupitant</w:t>
      </w:r>
      <w:proofErr w:type="spellEnd"/>
      <w:r w:rsidRPr="00A21EF9">
        <w:rPr>
          <w:rFonts w:ascii="Futura" w:eastAsia="Calibri" w:hAnsi="Futura" w:cs="Calibri"/>
          <w:color w:val="000000"/>
          <w:sz w:val="20"/>
          <w:szCs w:val="20"/>
          <w:lang w:bidi="en-US"/>
        </w:rPr>
        <w:t>/palonosetron (J8655). Covered 3-drug regimens are:</w:t>
      </w:r>
    </w:p>
    <w:p w14:paraId="00565847" w14:textId="77777777" w:rsidR="00A21EF9" w:rsidRPr="00A21EF9" w:rsidRDefault="00A21EF9" w:rsidP="00495A45">
      <w:pPr>
        <w:numPr>
          <w:ilvl w:val="0"/>
          <w:numId w:val="6"/>
        </w:num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Aprepitant (J8501) or </w:t>
      </w:r>
      <w:proofErr w:type="spellStart"/>
      <w:r w:rsidRPr="00A21EF9">
        <w:rPr>
          <w:rFonts w:ascii="Futura" w:eastAsia="Calibri" w:hAnsi="Futura" w:cs="Calibri"/>
          <w:color w:val="000000"/>
          <w:sz w:val="20"/>
          <w:szCs w:val="20"/>
          <w:lang w:bidi="en-US"/>
        </w:rPr>
        <w:t>rolapitant</w:t>
      </w:r>
      <w:proofErr w:type="spellEnd"/>
      <w:r w:rsidRPr="00A21EF9">
        <w:rPr>
          <w:rFonts w:ascii="Futura" w:eastAsia="Calibri" w:hAnsi="Futura" w:cs="Calibri"/>
          <w:color w:val="000000"/>
          <w:sz w:val="20"/>
          <w:szCs w:val="20"/>
          <w:lang w:bidi="en-US"/>
        </w:rPr>
        <w:t xml:space="preserve"> (J8670) are covered when given as part of a 3-drug regimen that includes a 5HT3 antagonist (Q0162, Q0166, or Q0180) and dexamethasone (J8540).</w:t>
      </w:r>
    </w:p>
    <w:p w14:paraId="0B854ADA" w14:textId="77777777" w:rsidR="00A21EF9" w:rsidRPr="00A21EF9" w:rsidRDefault="00A21EF9" w:rsidP="00495A45">
      <w:pPr>
        <w:numPr>
          <w:ilvl w:val="0"/>
          <w:numId w:val="6"/>
        </w:numPr>
        <w:spacing w:after="0" w:line="240" w:lineRule="auto"/>
        <w:jc w:val="both"/>
        <w:rPr>
          <w:rFonts w:ascii="Futura" w:eastAsia="Calibri" w:hAnsi="Futura" w:cs="Calibri"/>
          <w:color w:val="000000"/>
          <w:sz w:val="20"/>
          <w:szCs w:val="20"/>
          <w:lang w:bidi="en-US"/>
        </w:rPr>
      </w:pPr>
      <w:proofErr w:type="spellStart"/>
      <w:r w:rsidRPr="00A21EF9">
        <w:rPr>
          <w:rFonts w:ascii="Futura" w:eastAsia="Calibri" w:hAnsi="Futura" w:cs="Calibri"/>
          <w:color w:val="000000"/>
          <w:sz w:val="20"/>
          <w:szCs w:val="20"/>
          <w:lang w:bidi="en-US"/>
        </w:rPr>
        <w:t>Netupitant</w:t>
      </w:r>
      <w:proofErr w:type="spellEnd"/>
      <w:r w:rsidRPr="00A21EF9">
        <w:rPr>
          <w:rFonts w:ascii="Futura" w:eastAsia="Calibri" w:hAnsi="Futura" w:cs="Calibri"/>
          <w:color w:val="000000"/>
          <w:sz w:val="20"/>
          <w:szCs w:val="20"/>
          <w:lang w:bidi="en-US"/>
        </w:rPr>
        <w:t xml:space="preserve">/palonosetron (J8655) is covered when given in conjunction with dexamethasone (J8540). A separate 5HT3 antagonist is not needed. </w:t>
      </w:r>
      <w:proofErr w:type="spellStart"/>
      <w:r w:rsidRPr="00A21EF9">
        <w:rPr>
          <w:rFonts w:ascii="Futura" w:eastAsia="Calibri" w:hAnsi="Futura" w:cs="Calibri"/>
          <w:color w:val="000000"/>
          <w:sz w:val="20"/>
          <w:szCs w:val="20"/>
          <w:lang w:bidi="en-US"/>
        </w:rPr>
        <w:t>Netupitant</w:t>
      </w:r>
      <w:proofErr w:type="spellEnd"/>
      <w:r w:rsidRPr="00A21EF9">
        <w:rPr>
          <w:rFonts w:ascii="Futura" w:eastAsia="Calibri" w:hAnsi="Futura" w:cs="Calibri"/>
          <w:color w:val="000000"/>
          <w:sz w:val="20"/>
          <w:szCs w:val="20"/>
          <w:lang w:bidi="en-US"/>
        </w:rPr>
        <w:t>/palonosetron has had multiple HCPCS codes assigned, depending on the date of service. Refer to the Coding Guidelines section (below) for instructions.</w:t>
      </w:r>
    </w:p>
    <w:p w14:paraId="1395435F" w14:textId="087E1710"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 xml:space="preserve">If </w:t>
      </w:r>
      <w:r w:rsidR="002A4D5F" w:rsidRPr="00A21EF9">
        <w:rPr>
          <w:rFonts w:ascii="Futura" w:eastAsia="Calibri" w:hAnsi="Futura" w:cs="Calibri"/>
          <w:color w:val="000000"/>
          <w:sz w:val="20"/>
          <w:szCs w:val="20"/>
          <w:lang w:bidi="en-US"/>
        </w:rPr>
        <w:t>all</w:t>
      </w:r>
      <w:r w:rsidRPr="00A21EF9">
        <w:rPr>
          <w:rFonts w:ascii="Futura" w:eastAsia="Calibri" w:hAnsi="Futura" w:cs="Calibri"/>
          <w:color w:val="000000"/>
          <w:sz w:val="20"/>
          <w:szCs w:val="20"/>
          <w:lang w:bidi="en-US"/>
        </w:rPr>
        <w:t xml:space="preserve"> the above criteria (1-4) are met, the quantity of oral antiemetic drugs covered for each episode of chemotherapy cannot exceed the initial loading dose plus 48 hours of therapy. However, for the drugs </w:t>
      </w:r>
      <w:proofErr w:type="spellStart"/>
      <w:r w:rsidRPr="00A21EF9">
        <w:rPr>
          <w:rFonts w:ascii="Futura" w:eastAsia="Calibri" w:hAnsi="Futura" w:cs="Calibri"/>
          <w:color w:val="000000"/>
          <w:sz w:val="20"/>
          <w:szCs w:val="20"/>
          <w:lang w:bidi="en-US"/>
        </w:rPr>
        <w:t>granisetron</w:t>
      </w:r>
      <w:proofErr w:type="spellEnd"/>
      <w:r w:rsidRPr="00A21EF9">
        <w:rPr>
          <w:rFonts w:ascii="Futura" w:eastAsia="Calibri" w:hAnsi="Futura" w:cs="Calibri"/>
          <w:color w:val="000000"/>
          <w:sz w:val="20"/>
          <w:szCs w:val="20"/>
          <w:lang w:bidi="en-US"/>
        </w:rPr>
        <w:t xml:space="preserve"> (Q0166) and </w:t>
      </w:r>
      <w:proofErr w:type="spellStart"/>
      <w:r w:rsidRPr="00A21EF9">
        <w:rPr>
          <w:rFonts w:ascii="Futura" w:eastAsia="Calibri" w:hAnsi="Futura" w:cs="Calibri"/>
          <w:color w:val="000000"/>
          <w:sz w:val="20"/>
          <w:szCs w:val="20"/>
          <w:lang w:bidi="en-US"/>
        </w:rPr>
        <w:t>dolasetron</w:t>
      </w:r>
      <w:proofErr w:type="spellEnd"/>
      <w:r w:rsidRPr="00A21EF9">
        <w:rPr>
          <w:rFonts w:ascii="Futura" w:eastAsia="Calibri" w:hAnsi="Futura" w:cs="Calibri"/>
          <w:color w:val="000000"/>
          <w:sz w:val="20"/>
          <w:szCs w:val="20"/>
          <w:lang w:bidi="en-US"/>
        </w:rPr>
        <w:t xml:space="preserve"> (Q0180), the quantity of drugs covered for each episode of chemotherapy is limited to the initial loading dose plus 24 hours of therapy. Quantities of drugs </w:t>
      </w:r>
      <w:r w:rsidR="00C96C03" w:rsidRPr="00A21EF9">
        <w:rPr>
          <w:rFonts w:ascii="Futura" w:eastAsia="Calibri" w:hAnsi="Futura" w:cs="Calibri"/>
          <w:color w:val="000000"/>
          <w:sz w:val="20"/>
          <w:szCs w:val="20"/>
          <w:lang w:bidi="en-US"/>
        </w:rPr>
        <w:t>more than</w:t>
      </w:r>
      <w:r w:rsidRPr="00A21EF9">
        <w:rPr>
          <w:rFonts w:ascii="Futura" w:eastAsia="Calibri" w:hAnsi="Futura" w:cs="Calibri"/>
          <w:color w:val="000000"/>
          <w:sz w:val="20"/>
          <w:szCs w:val="20"/>
          <w:lang w:bidi="en-US"/>
        </w:rPr>
        <w:t xml:space="preserve"> these amounts are non-covered.</w:t>
      </w:r>
    </w:p>
    <w:p w14:paraId="604661E0" w14:textId="77777777"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More than one oral antiemetic drug may be covered for concurrent use if more than one oral drug is needed to fully replace the intravenous drugs that would otherwise have been given.</w:t>
      </w:r>
    </w:p>
    <w:p w14:paraId="0725BF2F" w14:textId="77777777" w:rsidR="00A21EF9" w:rsidRPr="00A21EF9" w:rsidRDefault="00A21EF9" w:rsidP="00A21EF9">
      <w:pPr>
        <w:spacing w:after="0" w:line="240" w:lineRule="auto"/>
        <w:jc w:val="both"/>
        <w:rPr>
          <w:rFonts w:ascii="Futura" w:eastAsia="Calibri" w:hAnsi="Futura" w:cs="Calibri"/>
          <w:color w:val="000000"/>
          <w:sz w:val="20"/>
          <w:szCs w:val="20"/>
          <w:lang w:bidi="en-US"/>
        </w:rPr>
      </w:pPr>
      <w:r w:rsidRPr="00A21EF9">
        <w:rPr>
          <w:rFonts w:ascii="Futura" w:eastAsia="Calibri" w:hAnsi="Futura" w:cs="Calibri"/>
          <w:color w:val="000000"/>
          <w:sz w:val="20"/>
          <w:szCs w:val="20"/>
          <w:lang w:bidi="en-US"/>
        </w:rPr>
        <w:t>The quantity of oral antiemetic drugs that is dispensed should be limited to a 30-day supply. Orders may be refillable.</w:t>
      </w:r>
    </w:p>
    <w:p w14:paraId="4BDEE0EB" w14:textId="77777777" w:rsidR="00A21EF9" w:rsidRDefault="00A21EF9" w:rsidP="00554794">
      <w:pPr>
        <w:spacing w:after="0" w:line="240" w:lineRule="auto"/>
        <w:jc w:val="both"/>
        <w:rPr>
          <w:rFonts w:ascii="Futura" w:eastAsia="Calibri" w:hAnsi="Futura" w:cs="Calibri"/>
          <w:color w:val="000000"/>
          <w:sz w:val="20"/>
          <w:szCs w:val="20"/>
          <w:lang w:bidi="en-US"/>
        </w:rPr>
      </w:pPr>
    </w:p>
    <w:p w14:paraId="3D0F0EEB"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The supplier must enter a diagnosis code corresponding to the beneficiary's cancer diagnosis on each claim.</w:t>
      </w:r>
    </w:p>
    <w:p w14:paraId="05BC190D"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The billing of an oral antiemetic 3-drug combination is accomplished by one of the following methods:</w:t>
      </w:r>
    </w:p>
    <w:p w14:paraId="1C19CCBC" w14:textId="77777777" w:rsidR="001A1BC9" w:rsidRPr="001A1BC9" w:rsidRDefault="001A1BC9" w:rsidP="00495A45">
      <w:pPr>
        <w:numPr>
          <w:ilvl w:val="0"/>
          <w:numId w:val="7"/>
        </w:numPr>
        <w:spacing w:after="0" w:line="240" w:lineRule="auto"/>
        <w:rPr>
          <w:rFonts w:ascii="Futura" w:eastAsia="Calibri" w:hAnsi="Futura" w:cs="Calibri"/>
          <w:color w:val="000000"/>
          <w:sz w:val="20"/>
          <w:szCs w:val="20"/>
          <w:lang w:bidi="en-US"/>
        </w:rPr>
      </w:pP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 xml:space="preserve"> with its fixed combination of palonosetron (J8655) and dexamethasone (J8540), must be billed on the same claim.</w:t>
      </w:r>
    </w:p>
    <w:p w14:paraId="24D006F0" w14:textId="77777777" w:rsidR="001A1BC9" w:rsidRPr="001A1BC9" w:rsidRDefault="001A1BC9" w:rsidP="00495A45">
      <w:pPr>
        <w:numPr>
          <w:ilvl w:val="0"/>
          <w:numId w:val="7"/>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Aprepitant (J8501) or </w:t>
      </w:r>
      <w:proofErr w:type="spellStart"/>
      <w:r w:rsidRPr="001A1BC9">
        <w:rPr>
          <w:rFonts w:ascii="Futura" w:eastAsia="Calibri" w:hAnsi="Futura" w:cs="Calibri"/>
          <w:color w:val="000000"/>
          <w:sz w:val="20"/>
          <w:szCs w:val="20"/>
          <w:lang w:bidi="en-US"/>
        </w:rPr>
        <w:t>rolapitant</w:t>
      </w:r>
      <w:proofErr w:type="spellEnd"/>
      <w:r w:rsidRPr="001A1BC9">
        <w:rPr>
          <w:rFonts w:ascii="Futura" w:eastAsia="Calibri" w:hAnsi="Futura" w:cs="Calibri"/>
          <w:color w:val="000000"/>
          <w:sz w:val="20"/>
          <w:szCs w:val="20"/>
          <w:lang w:bidi="en-US"/>
        </w:rPr>
        <w:t xml:space="preserve"> (J8670) used with a separate 5HT3 antagonist (Q0162, Q0166 or Q0180) and dexamethasone (J8540) must be billed on the same claim.</w:t>
      </w:r>
    </w:p>
    <w:p w14:paraId="5BA6F955"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In addition to the diagnosis code corresponding to the beneficiary’s cancer diagnosis, claims for oral aprepitant (J8501), </w:t>
      </w:r>
      <w:proofErr w:type="spellStart"/>
      <w:r w:rsidRPr="001A1BC9">
        <w:rPr>
          <w:rFonts w:ascii="Futura" w:eastAsia="Calibri" w:hAnsi="Futura" w:cs="Calibri"/>
          <w:color w:val="000000"/>
          <w:sz w:val="20"/>
          <w:szCs w:val="20"/>
          <w:lang w:bidi="en-US"/>
        </w:rPr>
        <w:t>rolapitant</w:t>
      </w:r>
      <w:proofErr w:type="spellEnd"/>
      <w:r w:rsidRPr="001A1BC9">
        <w:rPr>
          <w:rFonts w:ascii="Futura" w:eastAsia="Calibri" w:hAnsi="Futura" w:cs="Calibri"/>
          <w:color w:val="000000"/>
          <w:sz w:val="20"/>
          <w:szCs w:val="20"/>
          <w:lang w:bidi="en-US"/>
        </w:rPr>
        <w:t xml:space="preserve"> (J8670) or </w:t>
      </w: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/palonosetron (J8655) must also be accompanied with a diagnosis code of an encounter for antineoplastic chemotherapy.</w:t>
      </w:r>
    </w:p>
    <w:p w14:paraId="2FB80B0B" w14:textId="7A975483"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Claims for code Q0181 must identify the name of the drug, the manufacturer, the dosage strength dispensed, each tablet/suppository/</w:t>
      </w:r>
      <w:r w:rsidR="00C96C03" w:rsidRPr="001A1BC9">
        <w:rPr>
          <w:rFonts w:ascii="Futura" w:eastAsia="Calibri" w:hAnsi="Futura" w:cs="Calibri"/>
          <w:color w:val="000000"/>
          <w:sz w:val="20"/>
          <w:szCs w:val="20"/>
          <w:lang w:bidi="en-US"/>
        </w:rPr>
        <w:t>etc.</w:t>
      </w:r>
      <w:r w:rsidRPr="001A1BC9">
        <w:rPr>
          <w:rFonts w:ascii="Futura" w:eastAsia="Calibri" w:hAnsi="Futura" w:cs="Calibri"/>
          <w:color w:val="000000"/>
          <w:sz w:val="20"/>
          <w:szCs w:val="20"/>
          <w:lang w:bidi="en-US"/>
        </w:rPr>
        <w:t xml:space="preserve"> and frequency of administration during the covered </w:t>
      </w:r>
      <w:r w:rsidR="00C96C03" w:rsidRPr="001A1BC9">
        <w:rPr>
          <w:rFonts w:ascii="Futura" w:eastAsia="Calibri" w:hAnsi="Futura" w:cs="Calibri"/>
          <w:color w:val="000000"/>
          <w:sz w:val="20"/>
          <w:szCs w:val="20"/>
          <w:lang w:bidi="en-US"/>
        </w:rPr>
        <w:t>period</w:t>
      </w:r>
      <w:r w:rsidRPr="001A1BC9">
        <w:rPr>
          <w:rFonts w:ascii="Futura" w:eastAsia="Calibri" w:hAnsi="Futura" w:cs="Calibri"/>
          <w:color w:val="000000"/>
          <w:sz w:val="20"/>
          <w:szCs w:val="20"/>
          <w:lang w:bidi="en-US"/>
        </w:rPr>
        <w:t xml:space="preserve"> (24-48 hours) as specified on the order. This information must be entered </w:t>
      </w:r>
      <w:r w:rsidR="00C96C03" w:rsidRPr="001A1BC9">
        <w:rPr>
          <w:rFonts w:ascii="Futura" w:eastAsia="Calibri" w:hAnsi="Futura" w:cs="Calibri"/>
          <w:color w:val="000000"/>
          <w:sz w:val="20"/>
          <w:szCs w:val="20"/>
          <w:lang w:bidi="en-US"/>
        </w:rPr>
        <w:t>into</w:t>
      </w:r>
      <w:r w:rsidRPr="001A1BC9">
        <w:rPr>
          <w:rFonts w:ascii="Futura" w:eastAsia="Calibri" w:hAnsi="Futura" w:cs="Calibri"/>
          <w:color w:val="000000"/>
          <w:sz w:val="20"/>
          <w:szCs w:val="20"/>
          <w:lang w:bidi="en-US"/>
        </w:rPr>
        <w:t xml:space="preserve"> the narrative field of </w:t>
      </w:r>
      <w:r w:rsidR="00C96C03" w:rsidRPr="001A1BC9">
        <w:rPr>
          <w:rFonts w:ascii="Futura" w:eastAsia="Calibri" w:hAnsi="Futura" w:cs="Calibri"/>
          <w:color w:val="000000"/>
          <w:sz w:val="20"/>
          <w:szCs w:val="20"/>
          <w:lang w:bidi="en-US"/>
        </w:rPr>
        <w:t>electronic</w:t>
      </w:r>
      <w:r w:rsidRPr="001A1BC9">
        <w:rPr>
          <w:rFonts w:ascii="Futura" w:eastAsia="Calibri" w:hAnsi="Futura" w:cs="Calibri"/>
          <w:color w:val="000000"/>
          <w:sz w:val="20"/>
          <w:szCs w:val="20"/>
          <w:lang w:bidi="en-US"/>
        </w:rPr>
        <w:t xml:space="preserve"> claim</w:t>
      </w:r>
      <w:r w:rsidR="00C96C03">
        <w:rPr>
          <w:rFonts w:ascii="Futura" w:eastAsia="Calibri" w:hAnsi="Futura" w:cs="Calibri"/>
          <w:color w:val="000000"/>
          <w:sz w:val="20"/>
          <w:szCs w:val="20"/>
          <w:lang w:bidi="en-US"/>
        </w:rPr>
        <w:t>s</w:t>
      </w:r>
      <w:r w:rsidRPr="001A1BC9">
        <w:rPr>
          <w:rFonts w:ascii="Futura" w:eastAsia="Calibri" w:hAnsi="Futura" w:cs="Calibri"/>
          <w:color w:val="000000"/>
          <w:sz w:val="20"/>
          <w:szCs w:val="20"/>
          <w:lang w:bidi="en-US"/>
        </w:rPr>
        <w:t>.</w:t>
      </w:r>
    </w:p>
    <w:p w14:paraId="51F99A2C" w14:textId="77777777" w:rsidR="00867619" w:rsidRDefault="00867619" w:rsidP="001A1BC9">
      <w:pPr>
        <w:spacing w:after="0" w:line="240" w:lineRule="auto"/>
        <w:rPr>
          <w:rFonts w:ascii="Futura" w:eastAsia="Calibri" w:hAnsi="Futura" w:cs="Calibri"/>
          <w:color w:val="000000"/>
          <w:sz w:val="20"/>
          <w:szCs w:val="20"/>
          <w:lang w:bidi="en-US"/>
        </w:rPr>
      </w:pPr>
    </w:p>
    <w:p w14:paraId="428C84AE" w14:textId="6BF5DBAE"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KX, GA AND GZ MODIFIERS</w:t>
      </w:r>
    </w:p>
    <w:p w14:paraId="23CADF54"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If dexamethasone (J8540) and either aprepitant (J8501), </w:t>
      </w:r>
      <w:proofErr w:type="spellStart"/>
      <w:r w:rsidRPr="001A1BC9">
        <w:rPr>
          <w:rFonts w:ascii="Futura" w:eastAsia="Calibri" w:hAnsi="Futura" w:cs="Calibri"/>
          <w:color w:val="000000"/>
          <w:sz w:val="20"/>
          <w:szCs w:val="20"/>
          <w:lang w:bidi="en-US"/>
        </w:rPr>
        <w:t>rolapitant</w:t>
      </w:r>
      <w:proofErr w:type="spellEnd"/>
      <w:r w:rsidRPr="001A1BC9">
        <w:rPr>
          <w:rFonts w:ascii="Futura" w:eastAsia="Calibri" w:hAnsi="Futura" w:cs="Calibri"/>
          <w:color w:val="000000"/>
          <w:sz w:val="20"/>
          <w:szCs w:val="20"/>
          <w:lang w:bidi="en-US"/>
        </w:rPr>
        <w:t xml:space="preserve"> (J8670) or 300mg </w:t>
      </w: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/0.5mg palonosetron (J8655) are used in conjunction with one of the anticancer chemotherapeutic agents listed in the Coverage Indications, Limitations and/or Medical Necessity section of the related LCD, a KX modifier must be added to each code.</w:t>
      </w:r>
    </w:p>
    <w:p w14:paraId="38E6645F"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If dexamethasone (J8540) and either aprepitant (J8501), </w:t>
      </w:r>
      <w:proofErr w:type="spellStart"/>
      <w:r w:rsidRPr="001A1BC9">
        <w:rPr>
          <w:rFonts w:ascii="Futura" w:eastAsia="Calibri" w:hAnsi="Futura" w:cs="Calibri"/>
          <w:color w:val="000000"/>
          <w:sz w:val="20"/>
          <w:szCs w:val="20"/>
          <w:lang w:bidi="en-US"/>
        </w:rPr>
        <w:t>rolapitant</w:t>
      </w:r>
      <w:proofErr w:type="spellEnd"/>
      <w:r w:rsidRPr="001A1BC9">
        <w:rPr>
          <w:rFonts w:ascii="Futura" w:eastAsia="Calibri" w:hAnsi="Futura" w:cs="Calibri"/>
          <w:color w:val="000000"/>
          <w:sz w:val="20"/>
          <w:szCs w:val="20"/>
          <w:lang w:bidi="en-US"/>
        </w:rPr>
        <w:t xml:space="preserve"> (J8670) or 300mg </w:t>
      </w: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 xml:space="preserve">/.5mg palonosetron (J8655) are not used in conjunction with one of the anticancer chemotherapeutic agents listed in the Coverage Indications, Limitations and/or Medical Necessity section of the related LCD the GA or GZ modifier must be added to a claim line for aprepitant, </w:t>
      </w:r>
      <w:proofErr w:type="spellStart"/>
      <w:r w:rsidRPr="001A1BC9">
        <w:rPr>
          <w:rFonts w:ascii="Futura" w:eastAsia="Calibri" w:hAnsi="Futura" w:cs="Calibri"/>
          <w:color w:val="000000"/>
          <w:sz w:val="20"/>
          <w:szCs w:val="20"/>
          <w:lang w:bidi="en-US"/>
        </w:rPr>
        <w:t>rolapitant</w:t>
      </w:r>
      <w:proofErr w:type="spellEnd"/>
      <w:r w:rsidRPr="001A1BC9">
        <w:rPr>
          <w:rFonts w:ascii="Futura" w:eastAsia="Calibri" w:hAnsi="Futura" w:cs="Calibri"/>
          <w:color w:val="000000"/>
          <w:sz w:val="20"/>
          <w:szCs w:val="20"/>
          <w:lang w:bidi="en-US"/>
        </w:rPr>
        <w:t xml:space="preserve">, </w:t>
      </w: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/palonosetron or dexamethasone. When there is an expectation of a denial as not reasonable and necessary, suppliers must enter the GA modifier on the claim line if they have obtained a properly executed Advance Beneficiary Notice (ABN) or the GZ modifier if they have not obtained a valid ABN.</w:t>
      </w:r>
    </w:p>
    <w:p w14:paraId="5C94B3FF" w14:textId="77777777" w:rsidR="00867619" w:rsidRDefault="00867619" w:rsidP="001A1BC9">
      <w:pPr>
        <w:spacing w:after="0" w:line="240" w:lineRule="auto"/>
        <w:rPr>
          <w:rFonts w:ascii="Futura" w:eastAsia="Calibri" w:hAnsi="Futura" w:cs="Calibri"/>
          <w:color w:val="000000"/>
          <w:sz w:val="20"/>
          <w:szCs w:val="20"/>
          <w:lang w:bidi="en-US"/>
        </w:rPr>
      </w:pPr>
    </w:p>
    <w:p w14:paraId="79A55598" w14:textId="6F9C5C7A"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Claim lines billed without a KX, GA, or GZ modifier will be rejected as missing information.</w:t>
      </w:r>
    </w:p>
    <w:p w14:paraId="19EA52DA" w14:textId="77777777" w:rsidR="00867619" w:rsidRDefault="00867619" w:rsidP="001A1BC9">
      <w:pPr>
        <w:spacing w:after="0" w:line="240" w:lineRule="auto"/>
        <w:rPr>
          <w:rFonts w:ascii="Futura" w:eastAsia="Calibri" w:hAnsi="Futura" w:cs="Calibri"/>
          <w:b/>
          <w:bCs/>
          <w:color w:val="000000"/>
          <w:sz w:val="20"/>
          <w:szCs w:val="20"/>
          <w:lang w:bidi="en-US"/>
        </w:rPr>
      </w:pPr>
    </w:p>
    <w:p w14:paraId="56D19430" w14:textId="4FCA2B42"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b/>
          <w:bCs/>
          <w:color w:val="000000"/>
          <w:sz w:val="20"/>
          <w:szCs w:val="20"/>
          <w:lang w:bidi="en-US"/>
        </w:rPr>
        <w:t>CODING GUIDELINES</w:t>
      </w:r>
    </w:p>
    <w:p w14:paraId="412EEBE6"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lastRenderedPageBreak/>
        <w:t>The following instructions apply to claims billed using J codes. When claims are billed in NCPDP format using NDC numbers, different instructions may apply. Refer to the NCPDP Companion Document available through the CMS web site.</w:t>
      </w:r>
    </w:p>
    <w:p w14:paraId="401CB710" w14:textId="77777777" w:rsidR="001A1BC9" w:rsidRPr="001A1BC9" w:rsidRDefault="001A1BC9" w:rsidP="001A1BC9">
      <w:pPr>
        <w:spacing w:after="0" w:line="240" w:lineRule="auto"/>
        <w:rPr>
          <w:rFonts w:ascii="Futura" w:eastAsia="Calibri" w:hAnsi="Futura" w:cs="Calibri"/>
          <w:color w:val="000000"/>
          <w:sz w:val="20"/>
          <w:szCs w:val="20"/>
          <w:lang w:bidi="en-US"/>
        </w:rPr>
      </w:pP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/palonosetron has had multiple HCPCS codes assigned.</w:t>
      </w:r>
    </w:p>
    <w:p w14:paraId="28A7B8DB" w14:textId="2E57F86F" w:rsidR="001A1BC9" w:rsidRPr="001A1BC9" w:rsidRDefault="001A1BC9" w:rsidP="00495A45">
      <w:pPr>
        <w:numPr>
          <w:ilvl w:val="0"/>
          <w:numId w:val="8"/>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For claims with dates of service prior to July 1, 2015, use HCPCS code Q0181 (UNSPECIFIED ORAL DOSAGE FORM, FDA APPROVED PRESCRIPTION ANTI-EMETIC, FOR USE AS A COMPLETE THERAPEUTIC SUBSTITUTE FOR </w:t>
      </w:r>
      <w:r w:rsidR="00036EF6" w:rsidRPr="001A1BC9">
        <w:rPr>
          <w:rFonts w:ascii="Futura" w:eastAsia="Calibri" w:hAnsi="Futura" w:cs="Calibri"/>
          <w:color w:val="000000"/>
          <w:sz w:val="20"/>
          <w:szCs w:val="20"/>
          <w:lang w:bidi="en-US"/>
        </w:rPr>
        <w:t>An</w:t>
      </w:r>
      <w:r w:rsidRPr="001A1BC9">
        <w:rPr>
          <w:rFonts w:ascii="Futura" w:eastAsia="Calibri" w:hAnsi="Futura" w:cs="Calibri"/>
          <w:color w:val="000000"/>
          <w:sz w:val="20"/>
          <w:szCs w:val="20"/>
          <w:lang w:bidi="en-US"/>
        </w:rPr>
        <w:t xml:space="preserve"> IV ANTI-EMETIC AT THE TIME OF CHEMOTHERAPY TREATMENT, NOT TO EXCEED A 48 HOUR DOSAGE REGIMEN)</w:t>
      </w:r>
    </w:p>
    <w:p w14:paraId="456B6D72" w14:textId="3E19D391" w:rsidR="001A1BC9" w:rsidRPr="001A1BC9" w:rsidRDefault="001A1BC9" w:rsidP="00495A45">
      <w:pPr>
        <w:numPr>
          <w:ilvl w:val="0"/>
          <w:numId w:val="8"/>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For claims with dates of service on or after July 1, </w:t>
      </w:r>
      <w:r w:rsidR="00036EF6" w:rsidRPr="001A1BC9">
        <w:rPr>
          <w:rFonts w:ascii="Futura" w:eastAsia="Calibri" w:hAnsi="Futura" w:cs="Calibri"/>
          <w:color w:val="000000"/>
          <w:sz w:val="20"/>
          <w:szCs w:val="20"/>
          <w:lang w:bidi="en-US"/>
        </w:rPr>
        <w:t>2015,</w:t>
      </w:r>
      <w:r w:rsidRPr="001A1BC9">
        <w:rPr>
          <w:rFonts w:ascii="Futura" w:eastAsia="Calibri" w:hAnsi="Futura" w:cs="Calibri"/>
          <w:color w:val="000000"/>
          <w:sz w:val="20"/>
          <w:szCs w:val="20"/>
          <w:lang w:bidi="en-US"/>
        </w:rPr>
        <w:t xml:space="preserve"> through December 31, 2015, use HCPCS code Q9978 (NETUPITANT 300 MG AND PALONOSETRON 0.5 MG, ORAL)</w:t>
      </w:r>
    </w:p>
    <w:p w14:paraId="4552779E" w14:textId="77777777" w:rsidR="001A1BC9" w:rsidRPr="001A1BC9" w:rsidRDefault="001A1BC9" w:rsidP="00495A45">
      <w:pPr>
        <w:numPr>
          <w:ilvl w:val="0"/>
          <w:numId w:val="8"/>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For claims with dates of service on or after January 1, 2016, use HCPCS code J8655 (NETUPITANT 300 MG AND PALONOSETRON 0.5 MG, ORAL)</w:t>
      </w:r>
    </w:p>
    <w:p w14:paraId="07C3D400" w14:textId="77777777" w:rsidR="001A1BC9" w:rsidRP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The individual drugs contained in </w:t>
      </w:r>
      <w:proofErr w:type="spellStart"/>
      <w:r w:rsidRPr="001A1BC9">
        <w:rPr>
          <w:rFonts w:ascii="Futura" w:eastAsia="Calibri" w:hAnsi="Futura" w:cs="Calibri"/>
          <w:color w:val="000000"/>
          <w:sz w:val="20"/>
          <w:szCs w:val="20"/>
          <w:lang w:bidi="en-US"/>
        </w:rPr>
        <w:t>netupitant</w:t>
      </w:r>
      <w:proofErr w:type="spellEnd"/>
      <w:r w:rsidRPr="001A1BC9">
        <w:rPr>
          <w:rFonts w:ascii="Futura" w:eastAsia="Calibri" w:hAnsi="Futura" w:cs="Calibri"/>
          <w:color w:val="000000"/>
          <w:sz w:val="20"/>
          <w:szCs w:val="20"/>
          <w:lang w:bidi="en-US"/>
        </w:rPr>
        <w:t>/palonosetron must not be unbundled and billed separately.</w:t>
      </w:r>
    </w:p>
    <w:p w14:paraId="7EA8B12E" w14:textId="77777777" w:rsidR="001A1BC9" w:rsidRPr="001A1BC9" w:rsidRDefault="001A1BC9" w:rsidP="001A1BC9">
      <w:pPr>
        <w:spacing w:after="0" w:line="240" w:lineRule="auto"/>
        <w:rPr>
          <w:rFonts w:ascii="Futura" w:eastAsia="Calibri" w:hAnsi="Futura" w:cs="Calibri"/>
          <w:color w:val="000000"/>
          <w:sz w:val="20"/>
          <w:szCs w:val="20"/>
          <w:lang w:bidi="en-US"/>
        </w:rPr>
      </w:pPr>
      <w:proofErr w:type="spellStart"/>
      <w:r w:rsidRPr="001A1BC9">
        <w:rPr>
          <w:rFonts w:ascii="Futura" w:eastAsia="Calibri" w:hAnsi="Futura" w:cs="Calibri"/>
          <w:color w:val="000000"/>
          <w:sz w:val="20"/>
          <w:szCs w:val="20"/>
          <w:lang w:bidi="en-US"/>
        </w:rPr>
        <w:t>Rolapitant</w:t>
      </w:r>
      <w:proofErr w:type="spellEnd"/>
      <w:r w:rsidRPr="001A1BC9">
        <w:rPr>
          <w:rFonts w:ascii="Futura" w:eastAsia="Calibri" w:hAnsi="Futura" w:cs="Calibri"/>
          <w:color w:val="000000"/>
          <w:sz w:val="20"/>
          <w:szCs w:val="20"/>
          <w:lang w:bidi="en-US"/>
        </w:rPr>
        <w:t xml:space="preserve"> has had multiple HCPCS codes assigned.</w:t>
      </w:r>
    </w:p>
    <w:p w14:paraId="28A21FDB" w14:textId="0E51E421" w:rsidR="001A1BC9" w:rsidRPr="001A1BC9" w:rsidRDefault="001A1BC9" w:rsidP="00495A45">
      <w:pPr>
        <w:numPr>
          <w:ilvl w:val="0"/>
          <w:numId w:val="9"/>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For claim on or after September 02, </w:t>
      </w:r>
      <w:r w:rsidR="00A53496" w:rsidRPr="001A1BC9">
        <w:rPr>
          <w:rFonts w:ascii="Futura" w:eastAsia="Calibri" w:hAnsi="Futura" w:cs="Calibri"/>
          <w:color w:val="000000"/>
          <w:sz w:val="20"/>
          <w:szCs w:val="20"/>
          <w:lang w:bidi="en-US"/>
        </w:rPr>
        <w:t>2015,</w:t>
      </w:r>
      <w:r w:rsidRPr="001A1BC9">
        <w:rPr>
          <w:rFonts w:ascii="Futura" w:eastAsia="Calibri" w:hAnsi="Futura" w:cs="Calibri"/>
          <w:color w:val="000000"/>
          <w:sz w:val="20"/>
          <w:szCs w:val="20"/>
          <w:lang w:bidi="en-US"/>
        </w:rPr>
        <w:t xml:space="preserve"> and before July 1, </w:t>
      </w:r>
      <w:r w:rsidR="00A53496" w:rsidRPr="001A1BC9">
        <w:rPr>
          <w:rFonts w:ascii="Futura" w:eastAsia="Calibri" w:hAnsi="Futura" w:cs="Calibri"/>
          <w:color w:val="000000"/>
          <w:sz w:val="20"/>
          <w:szCs w:val="20"/>
          <w:lang w:bidi="en-US"/>
        </w:rPr>
        <w:t>2016,</w:t>
      </w:r>
      <w:r w:rsidRPr="001A1BC9">
        <w:rPr>
          <w:rFonts w:ascii="Futura" w:eastAsia="Calibri" w:hAnsi="Futura" w:cs="Calibri"/>
          <w:color w:val="000000"/>
          <w:sz w:val="20"/>
          <w:szCs w:val="20"/>
          <w:lang w:bidi="en-US"/>
        </w:rPr>
        <w:t xml:space="preserve"> use HCPCS code Q0181 (UNSPECIFIED ORAL DOSAGE FORM, FDA APPROVED PRESCRIPTION ANTI-EMETIC, FOR USE AS A COMPLETE THERAPEUTIC SUBSTITUTE FOR </w:t>
      </w:r>
      <w:r w:rsidR="00A71B09" w:rsidRPr="001A1BC9">
        <w:rPr>
          <w:rFonts w:ascii="Futura" w:eastAsia="Calibri" w:hAnsi="Futura" w:cs="Calibri"/>
          <w:color w:val="000000"/>
          <w:sz w:val="20"/>
          <w:szCs w:val="20"/>
          <w:lang w:bidi="en-US"/>
        </w:rPr>
        <w:t>A</w:t>
      </w:r>
      <w:r w:rsidR="00A71B09">
        <w:rPr>
          <w:rFonts w:ascii="Futura" w:eastAsia="Calibri" w:hAnsi="Futura" w:cs="Calibri"/>
          <w:color w:val="000000"/>
          <w:sz w:val="20"/>
          <w:szCs w:val="20"/>
          <w:lang w:bidi="en-US"/>
        </w:rPr>
        <w:t>N</w:t>
      </w:r>
      <w:r w:rsidRPr="001A1BC9">
        <w:rPr>
          <w:rFonts w:ascii="Futura" w:eastAsia="Calibri" w:hAnsi="Futura" w:cs="Calibri"/>
          <w:color w:val="000000"/>
          <w:sz w:val="20"/>
          <w:szCs w:val="20"/>
          <w:lang w:bidi="en-US"/>
        </w:rPr>
        <w:t xml:space="preserve"> IV ANTI-EMETIC AT THE TIME OF CHEMOTHERAPY TREATMENT, NOT TO EXCEED A 48 HOUR DOSAGE REGIMEN)</w:t>
      </w:r>
    </w:p>
    <w:p w14:paraId="6EACEEFF" w14:textId="0E5C79BA" w:rsidR="001A1BC9" w:rsidRPr="001A1BC9" w:rsidRDefault="001A1BC9" w:rsidP="00495A45">
      <w:pPr>
        <w:numPr>
          <w:ilvl w:val="0"/>
          <w:numId w:val="9"/>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For dates of service on or after July 1, </w:t>
      </w:r>
      <w:r w:rsidR="00A53496" w:rsidRPr="001A1BC9">
        <w:rPr>
          <w:rFonts w:ascii="Futura" w:eastAsia="Calibri" w:hAnsi="Futura" w:cs="Calibri"/>
          <w:color w:val="000000"/>
          <w:sz w:val="20"/>
          <w:szCs w:val="20"/>
          <w:lang w:bidi="en-US"/>
        </w:rPr>
        <w:t>2016,</w:t>
      </w:r>
      <w:r w:rsidRPr="001A1BC9">
        <w:rPr>
          <w:rFonts w:ascii="Futura" w:eastAsia="Calibri" w:hAnsi="Futura" w:cs="Calibri"/>
          <w:color w:val="000000"/>
          <w:sz w:val="20"/>
          <w:szCs w:val="20"/>
          <w:lang w:bidi="en-US"/>
        </w:rPr>
        <w:t xml:space="preserve"> and before January 1, </w:t>
      </w:r>
      <w:r w:rsidR="00A53496" w:rsidRPr="001A1BC9">
        <w:rPr>
          <w:rFonts w:ascii="Futura" w:eastAsia="Calibri" w:hAnsi="Futura" w:cs="Calibri"/>
          <w:color w:val="000000"/>
          <w:sz w:val="20"/>
          <w:szCs w:val="20"/>
          <w:lang w:bidi="en-US"/>
        </w:rPr>
        <w:t>2017,</w:t>
      </w:r>
      <w:r w:rsidRPr="001A1BC9">
        <w:rPr>
          <w:rFonts w:ascii="Futura" w:eastAsia="Calibri" w:hAnsi="Futura" w:cs="Calibri"/>
          <w:color w:val="000000"/>
          <w:sz w:val="20"/>
          <w:szCs w:val="20"/>
          <w:lang w:bidi="en-US"/>
        </w:rPr>
        <w:t xml:space="preserve"> use HCPCS code Q9981 (ROLAPITANT, ORAL, 1 MG).</w:t>
      </w:r>
    </w:p>
    <w:p w14:paraId="7B598FB0" w14:textId="16FB2CBF" w:rsidR="001A1BC9" w:rsidRPr="001A1BC9" w:rsidRDefault="001A1BC9" w:rsidP="00495A45">
      <w:pPr>
        <w:numPr>
          <w:ilvl w:val="0"/>
          <w:numId w:val="9"/>
        </w:num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 xml:space="preserve">For dates of service on or after January 1, </w:t>
      </w:r>
      <w:r w:rsidR="00A53496" w:rsidRPr="001A1BC9">
        <w:rPr>
          <w:rFonts w:ascii="Futura" w:eastAsia="Calibri" w:hAnsi="Futura" w:cs="Calibri"/>
          <w:color w:val="000000"/>
          <w:sz w:val="20"/>
          <w:szCs w:val="20"/>
          <w:lang w:bidi="en-US"/>
        </w:rPr>
        <w:t>2017,</w:t>
      </w:r>
      <w:r w:rsidRPr="001A1BC9">
        <w:rPr>
          <w:rFonts w:ascii="Futura" w:eastAsia="Calibri" w:hAnsi="Futura" w:cs="Calibri"/>
          <w:color w:val="000000"/>
          <w:sz w:val="20"/>
          <w:szCs w:val="20"/>
          <w:lang w:bidi="en-US"/>
        </w:rPr>
        <w:t xml:space="preserve"> use HCPCS code J8670 (ROLAPITANT, ORAL, 1 MG).</w:t>
      </w:r>
    </w:p>
    <w:p w14:paraId="35EA583C" w14:textId="77777777" w:rsidR="001A1BC9" w:rsidRDefault="001A1BC9" w:rsidP="001A1BC9">
      <w:pPr>
        <w:spacing w:after="0" w:line="240" w:lineRule="auto"/>
        <w:rPr>
          <w:rFonts w:ascii="Futura" w:eastAsia="Calibri" w:hAnsi="Futura" w:cs="Calibri"/>
          <w:color w:val="000000"/>
          <w:sz w:val="20"/>
          <w:szCs w:val="20"/>
          <w:lang w:bidi="en-US"/>
        </w:rPr>
      </w:pPr>
      <w:r w:rsidRPr="001A1BC9">
        <w:rPr>
          <w:rFonts w:ascii="Futura" w:eastAsia="Calibri" w:hAnsi="Futura" w:cs="Calibri"/>
          <w:color w:val="000000"/>
          <w:sz w:val="20"/>
          <w:szCs w:val="20"/>
          <w:lang w:bidi="en-US"/>
        </w:rPr>
        <w:t>Codes J8501, J8540, J8650, J8655 and Q0155, Q0162, Q0163, Q0164, Q0166, Q0167, Q0169, Q0173, Q0174, Q0175, Q0177, Q0180, Q0181 or J8670 may be billed only when the oral antiemetic drug is used in the situations described in Non-Medical Necessity Coverage and Payment Rules section. The quantity of drugs billed using codes Q0155, Q0162, Q0163, Q0164, Q0166, Q0167, Q0169, Q0173, Q0174, Q0175, Q0177, Q0180, Q0181 must not exceed the 24 or 48 hours of therapy specified above.</w:t>
      </w:r>
    </w:p>
    <w:p w14:paraId="689DB069" w14:textId="77777777" w:rsidR="00F97420" w:rsidRDefault="00F97420" w:rsidP="001A1BC9">
      <w:pPr>
        <w:spacing w:after="0" w:line="240" w:lineRule="auto"/>
        <w:rPr>
          <w:rFonts w:ascii="Futura" w:eastAsia="Calibri" w:hAnsi="Futura" w:cs="Calibri"/>
          <w:color w:val="000000"/>
          <w:sz w:val="20"/>
          <w:szCs w:val="20"/>
          <w:lang w:bidi="en-US"/>
        </w:rPr>
      </w:pPr>
    </w:p>
    <w:p w14:paraId="14EA9EE0" w14:textId="1BF984C2" w:rsidR="00A53496" w:rsidRPr="00A53496" w:rsidRDefault="00A53496" w:rsidP="00A53496">
      <w:pPr>
        <w:spacing w:after="0" w:line="240" w:lineRule="auto"/>
        <w:rPr>
          <w:rFonts w:ascii="Futura" w:eastAsia="Calibri" w:hAnsi="Futura" w:cs="Calibri"/>
          <w:color w:val="000000"/>
          <w:sz w:val="20"/>
          <w:szCs w:val="20"/>
          <w:lang w:bidi="en-US"/>
        </w:rPr>
      </w:pPr>
      <w:r w:rsidRPr="00A53496">
        <w:rPr>
          <w:rFonts w:ascii="Futura" w:eastAsia="Calibri" w:hAnsi="Futura" w:cs="Calibri"/>
          <w:b/>
          <w:bCs/>
          <w:color w:val="000000"/>
          <w:sz w:val="28"/>
          <w:szCs w:val="28"/>
          <w:lang w:bidi="en-US"/>
        </w:rPr>
        <w:t>Palonosetron</w:t>
      </w:r>
      <w:r w:rsidRPr="00A53496">
        <w:rPr>
          <w:rFonts w:ascii="Futura" w:eastAsia="Calibri" w:hAnsi="Futura" w:cs="Calibri"/>
          <w:color w:val="000000"/>
          <w:sz w:val="20"/>
          <w:szCs w:val="20"/>
          <w:lang w:bidi="en-US"/>
        </w:rPr>
        <w:t xml:space="preserve"> may be indicated when </w:t>
      </w:r>
      <w:r w:rsidRPr="00A53496">
        <w:rPr>
          <w:rFonts w:ascii="Futura" w:eastAsia="Calibri" w:hAnsi="Futura" w:cs="Calibri"/>
          <w:b/>
          <w:bCs/>
          <w:color w:val="000000"/>
          <w:sz w:val="20"/>
          <w:szCs w:val="20"/>
          <w:lang w:bidi="en-US"/>
        </w:rPr>
        <w:t>ALL</w:t>
      </w:r>
      <w:r w:rsidRPr="00A53496">
        <w:rPr>
          <w:rFonts w:ascii="Futura" w:eastAsia="Calibri" w:hAnsi="Futura" w:cs="Calibri"/>
          <w:color w:val="000000"/>
          <w:sz w:val="20"/>
          <w:szCs w:val="20"/>
          <w:lang w:bidi="en-US"/>
        </w:rPr>
        <w:t xml:space="preserve"> the following are present</w:t>
      </w:r>
      <w:bookmarkStart w:id="2" w:name="cl_c_1"/>
      <w:bookmarkEnd w:id="2"/>
      <w:r w:rsidRPr="00A53496">
        <w:rPr>
          <w:rFonts w:ascii="Futura" w:eastAsia="Calibri" w:hAnsi="Futura" w:cs="Calibri"/>
          <w:color w:val="000000"/>
          <w:sz w:val="20"/>
          <w:szCs w:val="20"/>
          <w:lang w:bidi="en-US"/>
        </w:rPr>
        <w:t>:</w:t>
      </w:r>
    </w:p>
    <w:p w14:paraId="07DDAFA6" w14:textId="355458A9" w:rsidR="00A53496" w:rsidRPr="00A53496" w:rsidRDefault="00A53496" w:rsidP="00495A45">
      <w:pPr>
        <w:numPr>
          <w:ilvl w:val="0"/>
          <w:numId w:val="10"/>
        </w:numPr>
        <w:spacing w:after="0" w:line="240" w:lineRule="auto"/>
        <w:rPr>
          <w:rFonts w:ascii="Futura" w:eastAsia="Calibri" w:hAnsi="Futura" w:cs="Calibri"/>
          <w:color w:val="000000"/>
          <w:sz w:val="20"/>
          <w:szCs w:val="20"/>
          <w:lang w:bidi="en-US"/>
        </w:rPr>
      </w:pPr>
      <w:r w:rsidRPr="00A53496">
        <w:rPr>
          <w:rFonts w:ascii="Futura" w:eastAsia="Calibri" w:hAnsi="Futura" w:cs="Calibri"/>
          <w:color w:val="000000"/>
          <w:sz w:val="20"/>
          <w:szCs w:val="20"/>
          <w:lang w:bidi="en-US"/>
        </w:rPr>
        <w:t>Prevention of nausea and vomiting, as indicated by </w:t>
      </w:r>
      <w:r w:rsidRPr="00A53496">
        <w:rPr>
          <w:rFonts w:ascii="Futura" w:eastAsia="Calibri" w:hAnsi="Futura" w:cs="Calibri"/>
          <w:b/>
          <w:bCs/>
          <w:color w:val="000000"/>
          <w:sz w:val="20"/>
          <w:szCs w:val="20"/>
          <w:lang w:bidi="en-US"/>
        </w:rPr>
        <w:t>1 or more</w:t>
      </w:r>
      <w:r w:rsidRPr="00A53496">
        <w:rPr>
          <w:rFonts w:ascii="Futura" w:eastAsia="Calibri" w:hAnsi="Futura" w:cs="Calibri"/>
          <w:color w:val="000000"/>
          <w:sz w:val="20"/>
          <w:szCs w:val="20"/>
          <w:lang w:bidi="en-US"/>
        </w:rPr>
        <w:t> of the following</w:t>
      </w:r>
      <w:bookmarkStart w:id="3" w:name="cl_c_8"/>
      <w:bookmarkStart w:id="4" w:name="cl_c_9"/>
      <w:bookmarkEnd w:id="3"/>
      <w:bookmarkEnd w:id="4"/>
      <w:r w:rsidRPr="00A53496">
        <w:rPr>
          <w:rFonts w:ascii="Futura" w:eastAsia="Calibri" w:hAnsi="Futura" w:cs="Calibri"/>
          <w:color w:val="000000"/>
          <w:sz w:val="20"/>
          <w:szCs w:val="20"/>
          <w:lang w:bidi="en-US"/>
        </w:rPr>
        <w:t>:</w:t>
      </w:r>
    </w:p>
    <w:p w14:paraId="5EA83697" w14:textId="3629379D" w:rsidR="00A53496" w:rsidRPr="00A53496" w:rsidRDefault="00A53496" w:rsidP="00495A45">
      <w:pPr>
        <w:numPr>
          <w:ilvl w:val="1"/>
          <w:numId w:val="10"/>
        </w:numPr>
        <w:spacing w:after="0" w:line="240" w:lineRule="auto"/>
        <w:rPr>
          <w:rFonts w:ascii="Futura" w:eastAsia="Calibri" w:hAnsi="Futura" w:cs="Calibri"/>
          <w:color w:val="000000"/>
          <w:sz w:val="20"/>
          <w:szCs w:val="20"/>
          <w:lang w:bidi="en-US"/>
        </w:rPr>
      </w:pPr>
      <w:r w:rsidRPr="00A53496">
        <w:rPr>
          <w:rFonts w:ascii="Futura" w:eastAsia="Calibri" w:hAnsi="Futura" w:cs="Calibri"/>
          <w:color w:val="000000"/>
          <w:sz w:val="20"/>
          <w:szCs w:val="20"/>
          <w:lang w:bidi="en-US"/>
        </w:rPr>
        <w:t>Chemotherapy-induced nausea and vomiting, as indicated by </w:t>
      </w:r>
      <w:r w:rsidRPr="00A53496">
        <w:rPr>
          <w:rFonts w:ascii="Futura" w:eastAsia="Calibri" w:hAnsi="Futura" w:cs="Calibri"/>
          <w:b/>
          <w:bCs/>
          <w:color w:val="000000"/>
          <w:sz w:val="20"/>
          <w:szCs w:val="20"/>
          <w:lang w:bidi="en-US"/>
        </w:rPr>
        <w:t>1 or more</w:t>
      </w:r>
      <w:r w:rsidRPr="00A53496">
        <w:rPr>
          <w:rFonts w:ascii="Futura" w:eastAsia="Calibri" w:hAnsi="Futura" w:cs="Calibri"/>
          <w:color w:val="000000"/>
          <w:sz w:val="20"/>
          <w:szCs w:val="20"/>
          <w:lang w:bidi="en-US"/>
        </w:rPr>
        <w:t> of the following</w:t>
      </w:r>
      <w:bookmarkStart w:id="5" w:name="cl_c_11"/>
      <w:bookmarkEnd w:id="5"/>
      <w:r w:rsidRPr="00A53496">
        <w:rPr>
          <w:rFonts w:ascii="Futura" w:eastAsia="Calibri" w:hAnsi="Futura" w:cs="Calibri"/>
          <w:color w:val="000000"/>
          <w:sz w:val="20"/>
          <w:szCs w:val="20"/>
          <w:lang w:bidi="en-US"/>
        </w:rPr>
        <w:t>:</w:t>
      </w:r>
    </w:p>
    <w:p w14:paraId="76431D0A" w14:textId="4C905E7F" w:rsidR="00A53496" w:rsidRPr="00A53496" w:rsidRDefault="00A53496" w:rsidP="00495A45">
      <w:pPr>
        <w:numPr>
          <w:ilvl w:val="2"/>
          <w:numId w:val="11"/>
        </w:numPr>
        <w:spacing w:after="0" w:line="240" w:lineRule="auto"/>
        <w:rPr>
          <w:rFonts w:ascii="Futura" w:eastAsia="Calibri" w:hAnsi="Futura" w:cs="Calibri"/>
          <w:color w:val="000000"/>
          <w:sz w:val="20"/>
          <w:szCs w:val="20"/>
          <w:lang w:bidi="en-US"/>
        </w:rPr>
      </w:pPr>
      <w:r w:rsidRPr="00A53496">
        <w:rPr>
          <w:rFonts w:ascii="Futura" w:eastAsia="Calibri" w:hAnsi="Futura" w:cs="Calibri"/>
          <w:color w:val="000000"/>
          <w:sz w:val="20"/>
          <w:szCs w:val="20"/>
          <w:lang w:bidi="en-US"/>
        </w:rPr>
        <w:t>Highly emetogenic chemotherapy planned</w:t>
      </w:r>
    </w:p>
    <w:p w14:paraId="07BDEED7" w14:textId="0ACEC628" w:rsidR="00A53496" w:rsidRPr="00A53496" w:rsidRDefault="00A53496" w:rsidP="00495A45">
      <w:pPr>
        <w:numPr>
          <w:ilvl w:val="2"/>
          <w:numId w:val="12"/>
        </w:numPr>
        <w:spacing w:after="0" w:line="240" w:lineRule="auto"/>
        <w:rPr>
          <w:rFonts w:ascii="Futura" w:eastAsia="Calibri" w:hAnsi="Futura" w:cs="Calibri"/>
          <w:color w:val="000000"/>
          <w:sz w:val="20"/>
          <w:szCs w:val="20"/>
          <w:lang w:bidi="en-US"/>
        </w:rPr>
      </w:pPr>
      <w:r w:rsidRPr="00A53496">
        <w:rPr>
          <w:rFonts w:ascii="Futura" w:eastAsia="Calibri" w:hAnsi="Futura" w:cs="Calibri"/>
          <w:color w:val="000000"/>
          <w:sz w:val="20"/>
          <w:szCs w:val="20"/>
          <w:lang w:bidi="en-US"/>
        </w:rPr>
        <w:t>Moderately emetogenic chemotherapy planned</w:t>
      </w:r>
      <w:bookmarkStart w:id="6" w:name="cl_c_24"/>
      <w:bookmarkStart w:id="7" w:name="cl_c_25"/>
      <w:bookmarkEnd w:id="6"/>
      <w:bookmarkEnd w:id="7"/>
      <w:r w:rsidRPr="00A53496">
        <w:rPr>
          <w:rFonts w:ascii="Futura" w:eastAsia="Calibri" w:hAnsi="Futura" w:cs="Calibri"/>
          <w:color w:val="000000"/>
          <w:sz w:val="20"/>
          <w:szCs w:val="20"/>
          <w:lang w:bidi="en-US"/>
        </w:rPr>
        <w:t xml:space="preserve"> </w:t>
      </w:r>
    </w:p>
    <w:p w14:paraId="1C80584B" w14:textId="60FDBEF9" w:rsidR="00A53496" w:rsidRPr="00A53496" w:rsidRDefault="00A53496" w:rsidP="00495A45">
      <w:pPr>
        <w:numPr>
          <w:ilvl w:val="2"/>
          <w:numId w:val="10"/>
        </w:numPr>
        <w:spacing w:after="0" w:line="240" w:lineRule="auto"/>
        <w:rPr>
          <w:rFonts w:ascii="Futura" w:eastAsia="Calibri" w:hAnsi="Futura" w:cs="Calibri"/>
          <w:color w:val="000000"/>
          <w:sz w:val="20"/>
          <w:szCs w:val="20"/>
          <w:lang w:bidi="en-US"/>
        </w:rPr>
      </w:pPr>
      <w:r w:rsidRPr="00A53496">
        <w:rPr>
          <w:rFonts w:ascii="Futura" w:eastAsia="Calibri" w:hAnsi="Futura" w:cs="Calibri"/>
          <w:color w:val="000000"/>
          <w:sz w:val="20"/>
          <w:szCs w:val="20"/>
          <w:lang w:bidi="en-US"/>
        </w:rPr>
        <w:t>Postoperative nausea and vomiting</w:t>
      </w:r>
      <w:bookmarkStart w:id="8" w:name="cl_c_27"/>
      <w:bookmarkStart w:id="9" w:name="cl_c_28"/>
      <w:bookmarkEnd w:id="8"/>
      <w:bookmarkEnd w:id="9"/>
      <w:r w:rsidRPr="00A53496">
        <w:rPr>
          <w:rFonts w:ascii="Futura" w:eastAsia="Calibri" w:hAnsi="Futura" w:cs="Calibri"/>
          <w:color w:val="000000"/>
          <w:sz w:val="20"/>
          <w:szCs w:val="20"/>
          <w:lang w:bidi="en-US"/>
        </w:rPr>
        <w:t xml:space="preserve"> </w:t>
      </w:r>
    </w:p>
    <w:p w14:paraId="02C7F2D7" w14:textId="1C001E51" w:rsidR="00A53496" w:rsidRPr="00A53496" w:rsidRDefault="00A53496" w:rsidP="00495A45">
      <w:pPr>
        <w:numPr>
          <w:ilvl w:val="1"/>
          <w:numId w:val="10"/>
        </w:numPr>
        <w:spacing w:after="0" w:line="240" w:lineRule="auto"/>
        <w:rPr>
          <w:rFonts w:ascii="Futura" w:eastAsia="Calibri" w:hAnsi="Futura" w:cs="Calibri"/>
          <w:color w:val="000000"/>
          <w:sz w:val="20"/>
          <w:szCs w:val="20"/>
          <w:lang w:bidi="en-US"/>
        </w:rPr>
      </w:pPr>
      <w:r w:rsidRPr="00A53496">
        <w:rPr>
          <w:rFonts w:ascii="Futura" w:eastAsia="Calibri" w:hAnsi="Futura" w:cs="Calibri"/>
          <w:color w:val="000000"/>
          <w:sz w:val="20"/>
          <w:szCs w:val="20"/>
          <w:lang w:bidi="en-US"/>
        </w:rPr>
        <w:t>Patients are</w:t>
      </w:r>
      <w:r>
        <w:rPr>
          <w:rFonts w:ascii="Futura" w:eastAsia="Calibri" w:hAnsi="Futura" w:cs="Calibri"/>
          <w:color w:val="000000"/>
          <w:sz w:val="20"/>
          <w:szCs w:val="20"/>
          <w:lang w:bidi="en-US"/>
        </w:rPr>
        <w:t xml:space="preserve"> </w:t>
      </w:r>
      <w:r w:rsidRPr="00A53496">
        <w:rPr>
          <w:rFonts w:ascii="Futura" w:eastAsia="Calibri" w:hAnsi="Futura" w:cs="Calibri"/>
          <w:color w:val="000000"/>
          <w:sz w:val="20"/>
          <w:szCs w:val="20"/>
          <w:lang w:bidi="en-US"/>
        </w:rPr>
        <w:t>not pregnant</w:t>
      </w:r>
    </w:p>
    <w:p w14:paraId="76670ED7" w14:textId="77777777" w:rsidR="00A248A5" w:rsidRDefault="00A248A5" w:rsidP="00A248A5">
      <w:pPr>
        <w:spacing w:after="0" w:line="240" w:lineRule="auto"/>
        <w:rPr>
          <w:rFonts w:ascii="Futura" w:eastAsia="Calibri" w:hAnsi="Futura" w:cs="Calibri"/>
          <w:color w:val="000000"/>
          <w:sz w:val="20"/>
          <w:szCs w:val="20"/>
          <w:lang w:bidi="en-US"/>
        </w:rPr>
      </w:pPr>
    </w:p>
    <w:p w14:paraId="234167BC" w14:textId="30880F2E" w:rsidR="001F2A8F" w:rsidRPr="001F2A8F" w:rsidRDefault="001F2A8F" w:rsidP="00A248A5">
      <w:pPr>
        <w:spacing w:after="0" w:line="240" w:lineRule="auto"/>
        <w:rPr>
          <w:rFonts w:ascii="Futura" w:eastAsia="Calibri" w:hAnsi="Futura" w:cs="Calibri"/>
          <w:color w:val="000000"/>
          <w:sz w:val="20"/>
          <w:szCs w:val="20"/>
          <w:lang w:bidi="en-US"/>
        </w:rPr>
      </w:pPr>
      <w:r w:rsidRPr="001F2A8F">
        <w:rPr>
          <w:rFonts w:ascii="Futura" w:eastAsia="Calibri" w:hAnsi="Futura" w:cs="Calibri"/>
          <w:b/>
          <w:bCs/>
          <w:color w:val="000000"/>
          <w:sz w:val="28"/>
          <w:szCs w:val="28"/>
          <w:lang w:bidi="en-US"/>
        </w:rPr>
        <w:t xml:space="preserve">Aprepitant or </w:t>
      </w:r>
      <w:proofErr w:type="spellStart"/>
      <w:r w:rsidRPr="001F2A8F">
        <w:rPr>
          <w:rFonts w:ascii="Futura" w:eastAsia="Calibri" w:hAnsi="Futura" w:cs="Calibri"/>
          <w:b/>
          <w:bCs/>
          <w:color w:val="000000"/>
          <w:sz w:val="28"/>
          <w:szCs w:val="28"/>
          <w:lang w:bidi="en-US"/>
        </w:rPr>
        <w:t>fosaprepitant</w:t>
      </w:r>
      <w:proofErr w:type="spellEnd"/>
      <w:r w:rsidRPr="001F2A8F">
        <w:rPr>
          <w:rFonts w:ascii="Futura" w:eastAsia="Calibri" w:hAnsi="Futura" w:cs="Calibri"/>
          <w:color w:val="000000"/>
          <w:sz w:val="20"/>
          <w:szCs w:val="20"/>
          <w:lang w:bidi="en-US"/>
        </w:rPr>
        <w:t xml:space="preserve"> may be indicated when </w:t>
      </w:r>
      <w:r w:rsidR="002A4D5F" w:rsidRPr="001F2A8F">
        <w:rPr>
          <w:rFonts w:ascii="Futura" w:eastAsia="Calibri" w:hAnsi="Futura" w:cs="Calibri"/>
          <w:b/>
          <w:bCs/>
          <w:color w:val="000000"/>
          <w:sz w:val="20"/>
          <w:szCs w:val="20"/>
          <w:lang w:bidi="en-US"/>
        </w:rPr>
        <w:t>ALL</w:t>
      </w:r>
      <w:r w:rsidRPr="001F2A8F">
        <w:rPr>
          <w:rFonts w:ascii="Futura" w:eastAsia="Calibri" w:hAnsi="Futura" w:cs="Calibri"/>
          <w:color w:val="000000"/>
          <w:sz w:val="20"/>
          <w:szCs w:val="20"/>
          <w:lang w:bidi="en-US"/>
        </w:rPr>
        <w:t xml:space="preserve"> the following are present:</w:t>
      </w:r>
    </w:p>
    <w:p w14:paraId="1F3563FD" w14:textId="77777777" w:rsidR="001F2A8F" w:rsidRPr="001F2A8F" w:rsidRDefault="001F2A8F" w:rsidP="00495A45">
      <w:pPr>
        <w:numPr>
          <w:ilvl w:val="0"/>
          <w:numId w:val="13"/>
        </w:numPr>
        <w:spacing w:after="0" w:line="240" w:lineRule="auto"/>
        <w:rPr>
          <w:rFonts w:ascii="Futura" w:eastAsia="Calibri" w:hAnsi="Futura" w:cs="Calibri"/>
          <w:color w:val="000000"/>
          <w:sz w:val="20"/>
          <w:szCs w:val="20"/>
          <w:lang w:bidi="en-US"/>
        </w:rPr>
      </w:pPr>
      <w:r w:rsidRPr="001F2A8F">
        <w:rPr>
          <w:rFonts w:ascii="Futura" w:eastAsia="Calibri" w:hAnsi="Futura" w:cs="Calibri"/>
          <w:color w:val="000000"/>
          <w:sz w:val="20"/>
          <w:szCs w:val="20"/>
          <w:lang w:bidi="en-US"/>
        </w:rPr>
        <w:t>Prevention of nausea and vomiting, as indicated by </w:t>
      </w:r>
      <w:r w:rsidRPr="001F2A8F">
        <w:rPr>
          <w:rFonts w:ascii="Futura" w:eastAsia="Calibri" w:hAnsi="Futura" w:cs="Calibri"/>
          <w:b/>
          <w:bCs/>
          <w:color w:val="000000"/>
          <w:sz w:val="20"/>
          <w:szCs w:val="20"/>
          <w:lang w:bidi="en-US"/>
        </w:rPr>
        <w:t>1 or more</w:t>
      </w:r>
      <w:r w:rsidRPr="001F2A8F">
        <w:rPr>
          <w:rFonts w:ascii="Futura" w:eastAsia="Calibri" w:hAnsi="Futura" w:cs="Calibri"/>
          <w:color w:val="000000"/>
          <w:sz w:val="20"/>
          <w:szCs w:val="20"/>
          <w:lang w:bidi="en-US"/>
        </w:rPr>
        <w:t> of the following:</w:t>
      </w:r>
    </w:p>
    <w:p w14:paraId="5E49A415" w14:textId="5EE3F600" w:rsidR="001F2A8F" w:rsidRPr="001F2A8F" w:rsidRDefault="001F2A8F" w:rsidP="00495A45">
      <w:pPr>
        <w:numPr>
          <w:ilvl w:val="1"/>
          <w:numId w:val="13"/>
        </w:numPr>
        <w:spacing w:after="0" w:line="240" w:lineRule="auto"/>
        <w:rPr>
          <w:rFonts w:ascii="Futura" w:eastAsia="Calibri" w:hAnsi="Futura" w:cs="Calibri"/>
          <w:color w:val="000000"/>
          <w:sz w:val="20"/>
          <w:szCs w:val="20"/>
          <w:lang w:bidi="en-US"/>
        </w:rPr>
      </w:pPr>
      <w:r w:rsidRPr="001F2A8F">
        <w:rPr>
          <w:rFonts w:ascii="Futura" w:eastAsia="Calibri" w:hAnsi="Futura" w:cs="Calibri"/>
          <w:color w:val="000000"/>
          <w:sz w:val="20"/>
          <w:szCs w:val="20"/>
          <w:lang w:bidi="en-US"/>
        </w:rPr>
        <w:t>Chemotherapy-induced nausea and vomiting, as indicated by </w:t>
      </w:r>
      <w:r w:rsidRPr="001F2A8F">
        <w:rPr>
          <w:rFonts w:ascii="Futura" w:eastAsia="Calibri" w:hAnsi="Futura" w:cs="Calibri"/>
          <w:b/>
          <w:bCs/>
          <w:color w:val="000000"/>
          <w:sz w:val="20"/>
          <w:szCs w:val="20"/>
          <w:lang w:bidi="en-US"/>
        </w:rPr>
        <w:t>1 or more</w:t>
      </w:r>
      <w:r w:rsidRPr="001F2A8F">
        <w:rPr>
          <w:rFonts w:ascii="Futura" w:eastAsia="Calibri" w:hAnsi="Futura" w:cs="Calibri"/>
          <w:color w:val="000000"/>
          <w:sz w:val="20"/>
          <w:szCs w:val="20"/>
          <w:lang w:bidi="en-US"/>
        </w:rPr>
        <w:t> of the following</w:t>
      </w:r>
      <w:bookmarkStart w:id="10" w:name="cl_c_19"/>
      <w:bookmarkEnd w:id="10"/>
      <w:r w:rsidRPr="001F2A8F">
        <w:rPr>
          <w:rFonts w:ascii="Futura" w:eastAsia="Calibri" w:hAnsi="Futura" w:cs="Calibri"/>
          <w:color w:val="000000"/>
          <w:sz w:val="20"/>
          <w:szCs w:val="20"/>
          <w:lang w:bidi="en-US"/>
        </w:rPr>
        <w:t>:</w:t>
      </w:r>
    </w:p>
    <w:p w14:paraId="4A28A08B" w14:textId="519D3099" w:rsidR="001F2A8F" w:rsidRPr="001F2A8F" w:rsidRDefault="001F2A8F" w:rsidP="00495A45">
      <w:pPr>
        <w:numPr>
          <w:ilvl w:val="2"/>
          <w:numId w:val="14"/>
        </w:numPr>
        <w:spacing w:after="0" w:line="240" w:lineRule="auto"/>
        <w:rPr>
          <w:rFonts w:ascii="Futura" w:eastAsia="Calibri" w:hAnsi="Futura" w:cs="Calibri"/>
          <w:color w:val="000000"/>
          <w:sz w:val="20"/>
          <w:szCs w:val="20"/>
          <w:lang w:bidi="en-US"/>
        </w:rPr>
      </w:pPr>
      <w:r w:rsidRPr="001F2A8F">
        <w:rPr>
          <w:rFonts w:ascii="Futura" w:eastAsia="Calibri" w:hAnsi="Futura" w:cs="Calibri"/>
          <w:color w:val="000000"/>
          <w:sz w:val="20"/>
          <w:szCs w:val="20"/>
          <w:lang w:bidi="en-US"/>
        </w:rPr>
        <w:t>Highly emetogenic chemotherapy planned</w:t>
      </w:r>
    </w:p>
    <w:p w14:paraId="13A3CDAA" w14:textId="165E4B34" w:rsidR="001F2A8F" w:rsidRPr="001F2A8F" w:rsidRDefault="001F2A8F" w:rsidP="00495A45">
      <w:pPr>
        <w:numPr>
          <w:ilvl w:val="2"/>
          <w:numId w:val="15"/>
        </w:numPr>
        <w:spacing w:after="0" w:line="240" w:lineRule="auto"/>
        <w:rPr>
          <w:rFonts w:ascii="Futura" w:eastAsia="Calibri" w:hAnsi="Futura" w:cs="Calibri"/>
          <w:color w:val="000000"/>
          <w:sz w:val="20"/>
          <w:szCs w:val="20"/>
          <w:lang w:bidi="en-US"/>
        </w:rPr>
      </w:pPr>
      <w:r w:rsidRPr="001F2A8F">
        <w:rPr>
          <w:rFonts w:ascii="Futura" w:eastAsia="Calibri" w:hAnsi="Futura" w:cs="Calibri"/>
          <w:color w:val="000000"/>
          <w:sz w:val="20"/>
          <w:szCs w:val="20"/>
          <w:lang w:bidi="en-US"/>
        </w:rPr>
        <w:t>Moderately emetogenic chemotherapy planned</w:t>
      </w:r>
    </w:p>
    <w:p w14:paraId="0E15AC15" w14:textId="1B0773A1" w:rsidR="001F2A8F" w:rsidRPr="001F2A8F" w:rsidRDefault="001F2A8F" w:rsidP="00495A45">
      <w:pPr>
        <w:numPr>
          <w:ilvl w:val="2"/>
          <w:numId w:val="13"/>
        </w:numPr>
        <w:spacing w:after="0" w:line="240" w:lineRule="auto"/>
        <w:rPr>
          <w:rFonts w:ascii="Futura" w:eastAsia="Calibri" w:hAnsi="Futura" w:cs="Calibri"/>
          <w:color w:val="000000"/>
          <w:sz w:val="20"/>
          <w:szCs w:val="20"/>
          <w:lang w:bidi="en-US"/>
        </w:rPr>
      </w:pPr>
      <w:r w:rsidRPr="001F2A8F">
        <w:rPr>
          <w:rFonts w:ascii="Futura" w:eastAsia="Calibri" w:hAnsi="Futura" w:cs="Calibri"/>
          <w:color w:val="000000"/>
          <w:sz w:val="20"/>
          <w:szCs w:val="20"/>
          <w:lang w:bidi="en-US"/>
        </w:rPr>
        <w:t>Postoperative nausea and vomiting, and age 18 years or older</w:t>
      </w:r>
      <w:bookmarkStart w:id="11" w:name="cl_c_50"/>
      <w:bookmarkStart w:id="12" w:name="cl_c_51"/>
      <w:bookmarkStart w:id="13" w:name="cl_c_52"/>
      <w:bookmarkEnd w:id="11"/>
      <w:bookmarkEnd w:id="12"/>
      <w:bookmarkEnd w:id="13"/>
      <w:r w:rsidR="0081416A" w:rsidRPr="001F2A8F">
        <w:rPr>
          <w:rFonts w:ascii="Futura" w:eastAsia="Calibri" w:hAnsi="Futura" w:cs="Calibri"/>
          <w:color w:val="000000"/>
          <w:sz w:val="20"/>
          <w:szCs w:val="20"/>
          <w:lang w:bidi="en-US"/>
        </w:rPr>
        <w:t xml:space="preserve"> </w:t>
      </w:r>
    </w:p>
    <w:p w14:paraId="70775361" w14:textId="26E0C4F2" w:rsidR="001F2A8F" w:rsidRPr="001F2A8F" w:rsidRDefault="0081416A" w:rsidP="00495A45">
      <w:pPr>
        <w:numPr>
          <w:ilvl w:val="1"/>
          <w:numId w:val="13"/>
        </w:numPr>
        <w:spacing w:after="0" w:line="240" w:lineRule="auto"/>
        <w:rPr>
          <w:rFonts w:ascii="Futura" w:eastAsia="Calibri" w:hAnsi="Futura" w:cs="Calibri"/>
          <w:color w:val="000000"/>
          <w:sz w:val="20"/>
          <w:szCs w:val="20"/>
          <w:lang w:bidi="en-US"/>
        </w:rPr>
      </w:pPr>
      <w:r w:rsidRPr="001F2A8F">
        <w:rPr>
          <w:rFonts w:ascii="Futura" w:eastAsia="Calibri" w:hAnsi="Futura" w:cs="Calibri"/>
          <w:color w:val="000000"/>
          <w:sz w:val="20"/>
          <w:szCs w:val="20"/>
          <w:lang w:bidi="en-US"/>
        </w:rPr>
        <w:t>Patients</w:t>
      </w:r>
      <w:r w:rsidR="001F2A8F" w:rsidRPr="001F2A8F">
        <w:rPr>
          <w:rFonts w:ascii="Futura" w:eastAsia="Calibri" w:hAnsi="Futura" w:cs="Calibri"/>
          <w:color w:val="000000"/>
          <w:sz w:val="20"/>
          <w:szCs w:val="20"/>
          <w:lang w:bidi="en-US"/>
        </w:rPr>
        <w:t xml:space="preserve"> </w:t>
      </w:r>
      <w:r>
        <w:rPr>
          <w:rFonts w:ascii="Futura" w:eastAsia="Calibri" w:hAnsi="Futura" w:cs="Calibri"/>
          <w:color w:val="000000"/>
          <w:sz w:val="20"/>
          <w:szCs w:val="20"/>
          <w:lang w:bidi="en-US"/>
        </w:rPr>
        <w:t xml:space="preserve">are </w:t>
      </w:r>
      <w:r w:rsidR="001F2A8F" w:rsidRPr="001F2A8F">
        <w:rPr>
          <w:rFonts w:ascii="Futura" w:eastAsia="Calibri" w:hAnsi="Futura" w:cs="Calibri"/>
          <w:color w:val="000000"/>
          <w:sz w:val="20"/>
          <w:szCs w:val="20"/>
          <w:lang w:bidi="en-US"/>
        </w:rPr>
        <w:t>not pregnant</w:t>
      </w:r>
    </w:p>
    <w:p w14:paraId="1534DAE6" w14:textId="77777777" w:rsidR="00F97420" w:rsidRPr="001A1BC9" w:rsidRDefault="00F97420" w:rsidP="001A1BC9">
      <w:pPr>
        <w:spacing w:after="0" w:line="240" w:lineRule="auto"/>
        <w:rPr>
          <w:rFonts w:ascii="Futura" w:eastAsia="Calibri" w:hAnsi="Futura" w:cs="Calibri"/>
          <w:color w:val="000000"/>
          <w:sz w:val="20"/>
          <w:szCs w:val="20"/>
          <w:lang w:bidi="en-US"/>
        </w:rPr>
      </w:pPr>
    </w:p>
    <w:p w14:paraId="1FF5E25F" w14:textId="77777777" w:rsidR="002D78CB" w:rsidRDefault="002D78CB" w:rsidP="009F51BE">
      <w:pPr>
        <w:spacing w:after="0" w:line="240" w:lineRule="auto"/>
        <w:rPr>
          <w:rFonts w:ascii="Futura" w:eastAsia="Calibri" w:hAnsi="Futura" w:cs="Calibri"/>
          <w:color w:val="000000"/>
          <w:sz w:val="20"/>
          <w:szCs w:val="20"/>
          <w:lang w:bidi="en-US"/>
        </w:rPr>
      </w:pPr>
    </w:p>
    <w:p w14:paraId="03BE378E" w14:textId="77777777" w:rsidR="006C454B" w:rsidRDefault="006C454B" w:rsidP="009F51BE">
      <w:pPr>
        <w:spacing w:after="0" w:line="240" w:lineRule="auto"/>
        <w:rPr>
          <w:rFonts w:ascii="Futura" w:eastAsia="Calibri" w:hAnsi="Futura" w:cs="Calibri"/>
          <w:color w:val="000000"/>
          <w:sz w:val="20"/>
          <w:szCs w:val="20"/>
          <w:lang w:bidi="en-US"/>
        </w:rPr>
      </w:pPr>
    </w:p>
    <w:p w14:paraId="6B91BEFB" w14:textId="77777777" w:rsidR="006C454B" w:rsidRDefault="006C454B" w:rsidP="009F51BE">
      <w:pPr>
        <w:spacing w:after="0" w:line="240" w:lineRule="auto"/>
        <w:rPr>
          <w:rFonts w:ascii="Futura" w:eastAsia="Calibri" w:hAnsi="Futura" w:cs="Calibri"/>
          <w:color w:val="000000"/>
          <w:sz w:val="20"/>
          <w:szCs w:val="20"/>
          <w:lang w:bidi="en-US"/>
        </w:rPr>
      </w:pPr>
    </w:p>
    <w:p w14:paraId="4C760D45" w14:textId="77777777" w:rsidR="006C454B" w:rsidRDefault="006C454B" w:rsidP="009F51BE">
      <w:pPr>
        <w:spacing w:after="0" w:line="240" w:lineRule="auto"/>
        <w:rPr>
          <w:rFonts w:ascii="Futura" w:eastAsia="Calibri" w:hAnsi="Futura" w:cs="Calibri"/>
          <w:color w:val="000000"/>
          <w:sz w:val="20"/>
          <w:szCs w:val="20"/>
          <w:lang w:bidi="en-US"/>
        </w:rPr>
      </w:pPr>
    </w:p>
    <w:p w14:paraId="461C656E" w14:textId="77777777" w:rsidR="006C454B" w:rsidRDefault="006C454B" w:rsidP="009F51BE">
      <w:pPr>
        <w:spacing w:after="0" w:line="240" w:lineRule="auto"/>
        <w:rPr>
          <w:rFonts w:ascii="Futura" w:eastAsia="Calibri" w:hAnsi="Futura" w:cs="Calibri"/>
          <w:color w:val="000000"/>
          <w:sz w:val="20"/>
          <w:szCs w:val="20"/>
          <w:lang w:bidi="en-US"/>
        </w:rPr>
      </w:pPr>
    </w:p>
    <w:p w14:paraId="2ED2793B" w14:textId="2919B873" w:rsidR="00320403" w:rsidRDefault="00DC1B0C" w:rsidP="00320403">
      <w:pPr>
        <w:spacing w:after="0" w:line="240" w:lineRule="auto"/>
        <w:rPr>
          <w:rFonts w:ascii="Futura" w:hAnsi="Futura"/>
          <w:b/>
          <w:bCs/>
          <w:color w:val="00AEDB"/>
          <w:sz w:val="24"/>
          <w:szCs w:val="24"/>
        </w:rPr>
      </w:pPr>
      <w:r>
        <w:rPr>
          <w:rFonts w:ascii="Futura" w:hAnsi="Futura"/>
          <w:b/>
          <w:bCs/>
          <w:color w:val="00AEDB"/>
          <w:sz w:val="24"/>
          <w:szCs w:val="24"/>
        </w:rPr>
        <w:lastRenderedPageBreak/>
        <w:t>Duration</w:t>
      </w:r>
      <w:r w:rsidR="009C2524">
        <w:rPr>
          <w:rFonts w:ascii="Futura" w:hAnsi="Futura"/>
          <w:b/>
          <w:bCs/>
          <w:color w:val="00AEDB"/>
          <w:sz w:val="24"/>
          <w:szCs w:val="24"/>
        </w:rPr>
        <w:t xml:space="preserve"> of approval</w:t>
      </w:r>
      <w:r w:rsidR="00320403">
        <w:rPr>
          <w:rFonts w:ascii="Futura" w:hAnsi="Futura"/>
          <w:b/>
          <w:bCs/>
          <w:color w:val="00AEDB"/>
          <w:sz w:val="24"/>
          <w:szCs w:val="24"/>
        </w:rPr>
        <w:t>:</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495A45">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276F7C31" w:rsidR="0072503A" w:rsidRDefault="00002541" w:rsidP="00495A45">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9A5645">
        <w:rPr>
          <w:rFonts w:ascii="Futura" w:hAnsi="Futura"/>
          <w:sz w:val="24"/>
          <w:szCs w:val="24"/>
        </w:rPr>
        <w:t>365</w:t>
      </w:r>
      <w:r w:rsidR="0072503A">
        <w:rPr>
          <w:rFonts w:ascii="Futura" w:hAnsi="Futura"/>
          <w:sz w:val="24"/>
          <w:szCs w:val="24"/>
        </w:rPr>
        <w:t xml:space="preserve"> days (if new) or if it is a reauthorization request.</w:t>
      </w:r>
    </w:p>
    <w:p w14:paraId="2CB2D8D3" w14:textId="569963ED" w:rsidR="00856D17" w:rsidRDefault="00856D17" w:rsidP="00495A45">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EB0294">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p w14:paraId="72AA080E" w14:textId="588395C2" w:rsidR="00472F92" w:rsidRPr="00632CBB" w:rsidRDefault="00632CBB" w:rsidP="00495A45">
      <w:pPr>
        <w:pStyle w:val="ListParagraph"/>
        <w:numPr>
          <w:ilvl w:val="0"/>
          <w:numId w:val="3"/>
        </w:numPr>
        <w:spacing w:after="0" w:line="240" w:lineRule="auto"/>
        <w:rPr>
          <w:rFonts w:ascii="Futura" w:hAnsi="Futura"/>
          <w:sz w:val="24"/>
          <w:szCs w:val="24"/>
        </w:rPr>
      </w:pPr>
      <w:r>
        <w:rPr>
          <w:rFonts w:ascii="Futura" w:hAnsi="Futura"/>
          <w:sz w:val="24"/>
          <w:szCs w:val="24"/>
        </w:rPr>
        <w:t>The PBM is responsible for processing Part D prior authorizations, redeterminations, exceptions and otherwise.  Please consult the most current formulary and prior authorization criteria for content.</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2A62542D" w14:textId="0E05B082" w:rsidR="00FA7C17" w:rsidRPr="00F64756" w:rsidRDefault="00F64756" w:rsidP="00495A45">
      <w:pPr>
        <w:pStyle w:val="ListParagraph"/>
        <w:numPr>
          <w:ilvl w:val="0"/>
          <w:numId w:val="1"/>
        </w:numPr>
        <w:spacing w:after="0" w:line="240" w:lineRule="auto"/>
        <w:rPr>
          <w:rFonts w:ascii="Futura" w:eastAsia="Calibri" w:hAnsi="Futura" w:cs="Calibri"/>
          <w:b/>
          <w:bCs/>
          <w:color w:val="000000"/>
          <w:sz w:val="20"/>
          <w:szCs w:val="20"/>
          <w:lang w:bidi="en-US"/>
        </w:rPr>
      </w:pPr>
      <w:proofErr w:type="spellStart"/>
      <w:proofErr w:type="gramStart"/>
      <w:r>
        <w:rPr>
          <w:rFonts w:ascii="Futura" w:eastAsia="Calibri" w:hAnsi="Futura" w:cs="Calibri"/>
          <w:color w:val="000000"/>
          <w:sz w:val="20"/>
          <w:szCs w:val="20"/>
          <w:lang w:bidi="en-US"/>
        </w:rPr>
        <w:t>eternalHealth</w:t>
      </w:r>
      <w:proofErr w:type="spellEnd"/>
      <w:proofErr w:type="gramEnd"/>
      <w:r>
        <w:rPr>
          <w:rFonts w:ascii="Futura" w:eastAsia="Calibri" w:hAnsi="Futura" w:cs="Calibri"/>
          <w:color w:val="000000"/>
          <w:sz w:val="20"/>
          <w:szCs w:val="20"/>
          <w:lang w:bidi="en-US"/>
        </w:rPr>
        <w:t xml:space="preserve"> Medicare Part B Prior Authorization List.  </w:t>
      </w:r>
      <w:hyperlink r:id="rId10"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E066B4" w:rsidRDefault="00F45E5D" w:rsidP="00495A45">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1" w:history="1">
        <w:r>
          <w:rPr>
            <w:rStyle w:val="Hyperlink"/>
            <w:rFonts w:ascii="Futura" w:eastAsia="Calibri" w:hAnsi="Futura" w:cs="Calibri"/>
            <w:sz w:val="20"/>
            <w:szCs w:val="20"/>
            <w:lang w:bidi="en-US"/>
          </w:rPr>
          <w:t>https://www.cms.gov/medicare/payment/part-b-drugs/asp-pricing-files</w:t>
        </w:r>
      </w:hyperlink>
    </w:p>
    <w:p w14:paraId="46CB2CAC" w14:textId="7B983AF3" w:rsidR="00E066B4" w:rsidRPr="00E066B4" w:rsidRDefault="00E066B4" w:rsidP="00495A45">
      <w:pPr>
        <w:pStyle w:val="ListParagraph"/>
        <w:numPr>
          <w:ilvl w:val="0"/>
          <w:numId w:val="1"/>
        </w:numPr>
        <w:spacing w:after="0" w:line="240" w:lineRule="auto"/>
        <w:rPr>
          <w:rFonts w:ascii="Futura" w:eastAsia="Calibri" w:hAnsi="Futura" w:cs="Calibri"/>
          <w:color w:val="000000"/>
          <w:sz w:val="20"/>
          <w:szCs w:val="20"/>
          <w:lang w:bidi="en-US"/>
        </w:rPr>
      </w:pPr>
      <w:r w:rsidRPr="00E066B4">
        <w:rPr>
          <w:rFonts w:ascii="Futura" w:eastAsia="Calibri" w:hAnsi="Futura" w:cs="Calibri"/>
          <w:color w:val="000000"/>
          <w:sz w:val="20"/>
          <w:szCs w:val="20"/>
          <w:lang w:bidi="en-US"/>
        </w:rPr>
        <w:t>Oral Antiemetic Drugs (Replacement for Intravenous Antiemetics) - Policy Article</w:t>
      </w:r>
      <w:r>
        <w:rPr>
          <w:rFonts w:ascii="Futura" w:eastAsia="Calibri" w:hAnsi="Futura" w:cs="Calibri"/>
          <w:color w:val="000000"/>
          <w:sz w:val="20"/>
          <w:szCs w:val="20"/>
          <w:lang w:bidi="en-US"/>
        </w:rPr>
        <w:t xml:space="preserve">.  </w:t>
      </w:r>
      <w:hyperlink r:id="rId12" w:history="1">
        <w:r w:rsidR="0081713F">
          <w:rPr>
            <w:rStyle w:val="Hyperlink"/>
            <w:rFonts w:ascii="Futura" w:eastAsia="Calibri" w:hAnsi="Futura" w:cs="Calibri"/>
            <w:sz w:val="20"/>
            <w:szCs w:val="20"/>
            <w:lang w:bidi="en-US"/>
          </w:rPr>
          <w:t>https://www.cms.gov/medicare-coverage-database/view/article.aspx?articleid=52480</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64A5"/>
    <w:multiLevelType w:val="multilevel"/>
    <w:tmpl w:val="CC18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D5626"/>
    <w:multiLevelType w:val="multilevel"/>
    <w:tmpl w:val="6732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B0306"/>
    <w:multiLevelType w:val="multilevel"/>
    <w:tmpl w:val="5BC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D5CCB"/>
    <w:multiLevelType w:val="multilevel"/>
    <w:tmpl w:val="4E2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E6734"/>
    <w:multiLevelType w:val="multilevel"/>
    <w:tmpl w:val="05D8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92598"/>
    <w:multiLevelType w:val="multilevel"/>
    <w:tmpl w:val="CF3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C26F7"/>
    <w:multiLevelType w:val="multilevel"/>
    <w:tmpl w:val="05ACD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6F6B20"/>
    <w:multiLevelType w:val="multilevel"/>
    <w:tmpl w:val="D854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265964">
    <w:abstractNumId w:val="1"/>
  </w:num>
  <w:num w:numId="2" w16cid:durableId="31996377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3"/>
  </w:num>
  <w:num w:numId="4" w16cid:durableId="1735620250">
    <w:abstractNumId w:val="11"/>
  </w:num>
  <w:num w:numId="5" w16cid:durableId="1386297566">
    <w:abstractNumId w:val="2"/>
  </w:num>
  <w:num w:numId="6" w16cid:durableId="1131703912">
    <w:abstractNumId w:val="9"/>
  </w:num>
  <w:num w:numId="7" w16cid:durableId="603267632">
    <w:abstractNumId w:val="7"/>
  </w:num>
  <w:num w:numId="8" w16cid:durableId="1530142104">
    <w:abstractNumId w:val="6"/>
  </w:num>
  <w:num w:numId="9" w16cid:durableId="1922450100">
    <w:abstractNumId w:val="0"/>
  </w:num>
  <w:num w:numId="10" w16cid:durableId="1461150500">
    <w:abstractNumId w:val="10"/>
  </w:num>
  <w:num w:numId="11" w16cid:durableId="321275612">
    <w:abstractNumId w:val="10"/>
    <w:lvlOverride w:ilvl="3">
      <w:lvl w:ilvl="3">
        <w:numFmt w:val="bullet"/>
        <w:lvlText w:val=""/>
        <w:lvlJc w:val="left"/>
        <w:pPr>
          <w:tabs>
            <w:tab w:val="num" w:pos="2880"/>
          </w:tabs>
          <w:ind w:left="2880" w:hanging="360"/>
        </w:pPr>
        <w:rPr>
          <w:rFonts w:ascii="Symbol" w:hAnsi="Symbol" w:hint="default"/>
          <w:sz w:val="20"/>
        </w:rPr>
      </w:lvl>
    </w:lvlOverride>
  </w:num>
  <w:num w:numId="12" w16cid:durableId="1813405074">
    <w:abstractNumId w:val="10"/>
    <w:lvlOverride w:ilvl="3">
      <w:lvl w:ilvl="3">
        <w:numFmt w:val="bullet"/>
        <w:lvlText w:val=""/>
        <w:lvlJc w:val="left"/>
        <w:pPr>
          <w:tabs>
            <w:tab w:val="num" w:pos="2880"/>
          </w:tabs>
          <w:ind w:left="2880" w:hanging="360"/>
        </w:pPr>
        <w:rPr>
          <w:rFonts w:ascii="Symbol" w:hAnsi="Symbol" w:hint="default"/>
          <w:sz w:val="20"/>
        </w:rPr>
      </w:lvl>
    </w:lvlOverride>
  </w:num>
  <w:num w:numId="13" w16cid:durableId="94980202">
    <w:abstractNumId w:val="8"/>
  </w:num>
  <w:num w:numId="14" w16cid:durableId="464391721">
    <w:abstractNumId w:val="8"/>
    <w:lvlOverride w:ilvl="3">
      <w:lvl w:ilvl="3">
        <w:numFmt w:val="bullet"/>
        <w:lvlText w:val=""/>
        <w:lvlJc w:val="left"/>
        <w:pPr>
          <w:tabs>
            <w:tab w:val="num" w:pos="2880"/>
          </w:tabs>
          <w:ind w:left="2880" w:hanging="360"/>
        </w:pPr>
        <w:rPr>
          <w:rFonts w:ascii="Symbol" w:hAnsi="Symbol" w:hint="default"/>
          <w:sz w:val="20"/>
        </w:rPr>
      </w:lvl>
    </w:lvlOverride>
  </w:num>
  <w:num w:numId="15" w16cid:durableId="525562523">
    <w:abstractNumId w:val="8"/>
    <w:lvlOverride w:ilvl="3">
      <w:lvl w:ilvl="3">
        <w:numFmt w:val="bullet"/>
        <w:lvlText w:val=""/>
        <w:lvlJc w:val="left"/>
        <w:pPr>
          <w:tabs>
            <w:tab w:val="num" w:pos="2880"/>
          </w:tabs>
          <w:ind w:left="2880" w:hanging="360"/>
        </w:pPr>
        <w:rPr>
          <w:rFonts w:ascii="Symbol" w:hAnsi="Symbol" w:hint="default"/>
          <w:sz w:val="20"/>
        </w:rPr>
      </w:lvl>
    </w:lvlOverride>
  </w:num>
  <w:num w:numId="16" w16cid:durableId="3277846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2194"/>
    <w:rsid w:val="00002541"/>
    <w:rsid w:val="00006F2B"/>
    <w:rsid w:val="000216B1"/>
    <w:rsid w:val="00025225"/>
    <w:rsid w:val="00036EF6"/>
    <w:rsid w:val="00047F42"/>
    <w:rsid w:val="00050288"/>
    <w:rsid w:val="0005293D"/>
    <w:rsid w:val="00055090"/>
    <w:rsid w:val="000611CA"/>
    <w:rsid w:val="00070C3E"/>
    <w:rsid w:val="0007593E"/>
    <w:rsid w:val="00084B4D"/>
    <w:rsid w:val="00087AC4"/>
    <w:rsid w:val="000951BF"/>
    <w:rsid w:val="00095439"/>
    <w:rsid w:val="000A72D9"/>
    <w:rsid w:val="000C7E39"/>
    <w:rsid w:val="000D2F59"/>
    <w:rsid w:val="000D5D23"/>
    <w:rsid w:val="000E48B4"/>
    <w:rsid w:val="000F0644"/>
    <w:rsid w:val="000F5645"/>
    <w:rsid w:val="0010271C"/>
    <w:rsid w:val="00110ABA"/>
    <w:rsid w:val="00111DE8"/>
    <w:rsid w:val="00111E83"/>
    <w:rsid w:val="00114DFB"/>
    <w:rsid w:val="0013315A"/>
    <w:rsid w:val="00146F48"/>
    <w:rsid w:val="00151F12"/>
    <w:rsid w:val="0015272C"/>
    <w:rsid w:val="00163B05"/>
    <w:rsid w:val="00171CC3"/>
    <w:rsid w:val="001732AA"/>
    <w:rsid w:val="0017367D"/>
    <w:rsid w:val="0017549C"/>
    <w:rsid w:val="0018204C"/>
    <w:rsid w:val="001A17A5"/>
    <w:rsid w:val="001A1BC9"/>
    <w:rsid w:val="001C1DF1"/>
    <w:rsid w:val="001C3AA0"/>
    <w:rsid w:val="001C6D04"/>
    <w:rsid w:val="001D3758"/>
    <w:rsid w:val="001D485D"/>
    <w:rsid w:val="001D52B4"/>
    <w:rsid w:val="001F2395"/>
    <w:rsid w:val="001F2A8F"/>
    <w:rsid w:val="002068E2"/>
    <w:rsid w:val="00217E56"/>
    <w:rsid w:val="00222323"/>
    <w:rsid w:val="00232169"/>
    <w:rsid w:val="00234EA0"/>
    <w:rsid w:val="00244FDD"/>
    <w:rsid w:val="00255C58"/>
    <w:rsid w:val="00261E9C"/>
    <w:rsid w:val="00262255"/>
    <w:rsid w:val="00267D2D"/>
    <w:rsid w:val="00270308"/>
    <w:rsid w:val="00277C44"/>
    <w:rsid w:val="00282EC9"/>
    <w:rsid w:val="00284C10"/>
    <w:rsid w:val="0029343B"/>
    <w:rsid w:val="002A4D5F"/>
    <w:rsid w:val="002A56BD"/>
    <w:rsid w:val="002B2E6E"/>
    <w:rsid w:val="002C19CE"/>
    <w:rsid w:val="002C661D"/>
    <w:rsid w:val="002C7A14"/>
    <w:rsid w:val="002D3FFC"/>
    <w:rsid w:val="002D78CB"/>
    <w:rsid w:val="002E1B57"/>
    <w:rsid w:val="002F4966"/>
    <w:rsid w:val="00310B8F"/>
    <w:rsid w:val="00311667"/>
    <w:rsid w:val="00316CD7"/>
    <w:rsid w:val="00320403"/>
    <w:rsid w:val="00323429"/>
    <w:rsid w:val="0033442B"/>
    <w:rsid w:val="00343989"/>
    <w:rsid w:val="00362E72"/>
    <w:rsid w:val="00370721"/>
    <w:rsid w:val="00372252"/>
    <w:rsid w:val="0038314B"/>
    <w:rsid w:val="00384870"/>
    <w:rsid w:val="003A3BE8"/>
    <w:rsid w:val="003B405F"/>
    <w:rsid w:val="003E1B92"/>
    <w:rsid w:val="003E5ADF"/>
    <w:rsid w:val="003E698F"/>
    <w:rsid w:val="003F0AB1"/>
    <w:rsid w:val="00400AA7"/>
    <w:rsid w:val="00401E90"/>
    <w:rsid w:val="004057BB"/>
    <w:rsid w:val="00405835"/>
    <w:rsid w:val="00406341"/>
    <w:rsid w:val="00407604"/>
    <w:rsid w:val="00412F93"/>
    <w:rsid w:val="0041548D"/>
    <w:rsid w:val="0041776D"/>
    <w:rsid w:val="004219F6"/>
    <w:rsid w:val="0043033F"/>
    <w:rsid w:val="00436A19"/>
    <w:rsid w:val="00436E7B"/>
    <w:rsid w:val="00446EA0"/>
    <w:rsid w:val="00452D0D"/>
    <w:rsid w:val="004617A7"/>
    <w:rsid w:val="00465DFD"/>
    <w:rsid w:val="00466972"/>
    <w:rsid w:val="00467FD5"/>
    <w:rsid w:val="00472F92"/>
    <w:rsid w:val="00474DCE"/>
    <w:rsid w:val="004807F3"/>
    <w:rsid w:val="0048304F"/>
    <w:rsid w:val="00485617"/>
    <w:rsid w:val="004876ED"/>
    <w:rsid w:val="00495A45"/>
    <w:rsid w:val="00497B99"/>
    <w:rsid w:val="004A6CAF"/>
    <w:rsid w:val="004A7FF5"/>
    <w:rsid w:val="004B711A"/>
    <w:rsid w:val="004B7D0A"/>
    <w:rsid w:val="004B7D63"/>
    <w:rsid w:val="004C0644"/>
    <w:rsid w:val="004C0821"/>
    <w:rsid w:val="004C4061"/>
    <w:rsid w:val="004D2348"/>
    <w:rsid w:val="004D2403"/>
    <w:rsid w:val="004E3731"/>
    <w:rsid w:val="004E3830"/>
    <w:rsid w:val="004F0D94"/>
    <w:rsid w:val="004F3B63"/>
    <w:rsid w:val="004F56DC"/>
    <w:rsid w:val="004F5EE3"/>
    <w:rsid w:val="004F6CF7"/>
    <w:rsid w:val="005027EC"/>
    <w:rsid w:val="00506E5F"/>
    <w:rsid w:val="00510459"/>
    <w:rsid w:val="0051220F"/>
    <w:rsid w:val="005226EB"/>
    <w:rsid w:val="005269B9"/>
    <w:rsid w:val="005321AA"/>
    <w:rsid w:val="005372E4"/>
    <w:rsid w:val="00541A38"/>
    <w:rsid w:val="00541FB8"/>
    <w:rsid w:val="00542D9D"/>
    <w:rsid w:val="0054657C"/>
    <w:rsid w:val="0055003C"/>
    <w:rsid w:val="00554794"/>
    <w:rsid w:val="00554AA1"/>
    <w:rsid w:val="00563F86"/>
    <w:rsid w:val="00564D9D"/>
    <w:rsid w:val="00574C5A"/>
    <w:rsid w:val="00581FB0"/>
    <w:rsid w:val="00587BC5"/>
    <w:rsid w:val="00596AA0"/>
    <w:rsid w:val="005A4D07"/>
    <w:rsid w:val="005A5076"/>
    <w:rsid w:val="005B1B78"/>
    <w:rsid w:val="005B5D37"/>
    <w:rsid w:val="005B66F8"/>
    <w:rsid w:val="005C3DC3"/>
    <w:rsid w:val="005D0A2F"/>
    <w:rsid w:val="00627E28"/>
    <w:rsid w:val="0063092D"/>
    <w:rsid w:val="006315C5"/>
    <w:rsid w:val="00632CBB"/>
    <w:rsid w:val="00643E03"/>
    <w:rsid w:val="00644051"/>
    <w:rsid w:val="00645EAC"/>
    <w:rsid w:val="00647389"/>
    <w:rsid w:val="006502EC"/>
    <w:rsid w:val="006522B1"/>
    <w:rsid w:val="00652714"/>
    <w:rsid w:val="00655DD1"/>
    <w:rsid w:val="006661F8"/>
    <w:rsid w:val="00671635"/>
    <w:rsid w:val="00672EF0"/>
    <w:rsid w:val="006747AA"/>
    <w:rsid w:val="00682D71"/>
    <w:rsid w:val="006837C1"/>
    <w:rsid w:val="006905E1"/>
    <w:rsid w:val="006925D3"/>
    <w:rsid w:val="006C2777"/>
    <w:rsid w:val="006C454B"/>
    <w:rsid w:val="006C570F"/>
    <w:rsid w:val="006C791A"/>
    <w:rsid w:val="006D4720"/>
    <w:rsid w:val="006E1546"/>
    <w:rsid w:val="006E2283"/>
    <w:rsid w:val="006E7273"/>
    <w:rsid w:val="0070226E"/>
    <w:rsid w:val="00702342"/>
    <w:rsid w:val="00705F98"/>
    <w:rsid w:val="0071688B"/>
    <w:rsid w:val="007230EC"/>
    <w:rsid w:val="0072344F"/>
    <w:rsid w:val="0072503A"/>
    <w:rsid w:val="007301A3"/>
    <w:rsid w:val="007320D1"/>
    <w:rsid w:val="00740D32"/>
    <w:rsid w:val="00741603"/>
    <w:rsid w:val="00741841"/>
    <w:rsid w:val="00742CF1"/>
    <w:rsid w:val="00745EEC"/>
    <w:rsid w:val="00747DAE"/>
    <w:rsid w:val="00760A91"/>
    <w:rsid w:val="007610DB"/>
    <w:rsid w:val="00764E03"/>
    <w:rsid w:val="007812DC"/>
    <w:rsid w:val="007A409D"/>
    <w:rsid w:val="007A411C"/>
    <w:rsid w:val="007B4386"/>
    <w:rsid w:val="007C15B8"/>
    <w:rsid w:val="007C25F4"/>
    <w:rsid w:val="007C5A44"/>
    <w:rsid w:val="007D2B5D"/>
    <w:rsid w:val="007E38D8"/>
    <w:rsid w:val="007F4F63"/>
    <w:rsid w:val="0081059E"/>
    <w:rsid w:val="00811596"/>
    <w:rsid w:val="0081416A"/>
    <w:rsid w:val="008169B9"/>
    <w:rsid w:val="0081713F"/>
    <w:rsid w:val="00821D58"/>
    <w:rsid w:val="008224A5"/>
    <w:rsid w:val="00827A7B"/>
    <w:rsid w:val="00832A58"/>
    <w:rsid w:val="00833D5F"/>
    <w:rsid w:val="00834861"/>
    <w:rsid w:val="00835DAB"/>
    <w:rsid w:val="00853AE4"/>
    <w:rsid w:val="008562BA"/>
    <w:rsid w:val="00856D17"/>
    <w:rsid w:val="00867619"/>
    <w:rsid w:val="00867E8D"/>
    <w:rsid w:val="00883B3D"/>
    <w:rsid w:val="00885823"/>
    <w:rsid w:val="00892C1A"/>
    <w:rsid w:val="00892F25"/>
    <w:rsid w:val="008972B0"/>
    <w:rsid w:val="008A47EA"/>
    <w:rsid w:val="008A7D57"/>
    <w:rsid w:val="008B0533"/>
    <w:rsid w:val="008B3057"/>
    <w:rsid w:val="008B38E2"/>
    <w:rsid w:val="008B66CF"/>
    <w:rsid w:val="008B6898"/>
    <w:rsid w:val="008C42AD"/>
    <w:rsid w:val="008D39C3"/>
    <w:rsid w:val="008D3BB4"/>
    <w:rsid w:val="008E134A"/>
    <w:rsid w:val="008E1C8A"/>
    <w:rsid w:val="008E33BB"/>
    <w:rsid w:val="008F1491"/>
    <w:rsid w:val="008F3574"/>
    <w:rsid w:val="008F6DA5"/>
    <w:rsid w:val="008F7EDA"/>
    <w:rsid w:val="0090595D"/>
    <w:rsid w:val="00917608"/>
    <w:rsid w:val="0092568E"/>
    <w:rsid w:val="00930C83"/>
    <w:rsid w:val="00934560"/>
    <w:rsid w:val="0093575C"/>
    <w:rsid w:val="00944973"/>
    <w:rsid w:val="009551AB"/>
    <w:rsid w:val="00962F45"/>
    <w:rsid w:val="0096655A"/>
    <w:rsid w:val="00967536"/>
    <w:rsid w:val="00967F85"/>
    <w:rsid w:val="00972E5F"/>
    <w:rsid w:val="00973896"/>
    <w:rsid w:val="00976E77"/>
    <w:rsid w:val="00977B41"/>
    <w:rsid w:val="009815F3"/>
    <w:rsid w:val="0098253C"/>
    <w:rsid w:val="00984FC0"/>
    <w:rsid w:val="00997735"/>
    <w:rsid w:val="009A1FD0"/>
    <w:rsid w:val="009A5611"/>
    <w:rsid w:val="009A5645"/>
    <w:rsid w:val="009A65B2"/>
    <w:rsid w:val="009B2EC7"/>
    <w:rsid w:val="009C1F2E"/>
    <w:rsid w:val="009C2524"/>
    <w:rsid w:val="009C4596"/>
    <w:rsid w:val="009C7DD7"/>
    <w:rsid w:val="009E5E17"/>
    <w:rsid w:val="009F51BE"/>
    <w:rsid w:val="009F67D8"/>
    <w:rsid w:val="009F7E38"/>
    <w:rsid w:val="00A05151"/>
    <w:rsid w:val="00A06D28"/>
    <w:rsid w:val="00A21BE7"/>
    <w:rsid w:val="00A21EF9"/>
    <w:rsid w:val="00A227F2"/>
    <w:rsid w:val="00A248A5"/>
    <w:rsid w:val="00A31EC2"/>
    <w:rsid w:val="00A44BB3"/>
    <w:rsid w:val="00A46203"/>
    <w:rsid w:val="00A510FE"/>
    <w:rsid w:val="00A52B40"/>
    <w:rsid w:val="00A53496"/>
    <w:rsid w:val="00A54A77"/>
    <w:rsid w:val="00A653B4"/>
    <w:rsid w:val="00A674D1"/>
    <w:rsid w:val="00A71B09"/>
    <w:rsid w:val="00A74550"/>
    <w:rsid w:val="00A77887"/>
    <w:rsid w:val="00A8078C"/>
    <w:rsid w:val="00A85AC1"/>
    <w:rsid w:val="00A862D2"/>
    <w:rsid w:val="00A92D88"/>
    <w:rsid w:val="00A9620B"/>
    <w:rsid w:val="00AA09A0"/>
    <w:rsid w:val="00AA758B"/>
    <w:rsid w:val="00AB0163"/>
    <w:rsid w:val="00AB6317"/>
    <w:rsid w:val="00AC208E"/>
    <w:rsid w:val="00AC3D96"/>
    <w:rsid w:val="00AC43D5"/>
    <w:rsid w:val="00AE372C"/>
    <w:rsid w:val="00B02432"/>
    <w:rsid w:val="00B125DE"/>
    <w:rsid w:val="00B14A8A"/>
    <w:rsid w:val="00B15188"/>
    <w:rsid w:val="00B15619"/>
    <w:rsid w:val="00B23FE9"/>
    <w:rsid w:val="00B2615C"/>
    <w:rsid w:val="00B30CF8"/>
    <w:rsid w:val="00B317BA"/>
    <w:rsid w:val="00B34984"/>
    <w:rsid w:val="00B36550"/>
    <w:rsid w:val="00B36AE9"/>
    <w:rsid w:val="00B60BDE"/>
    <w:rsid w:val="00B77D2D"/>
    <w:rsid w:val="00B816C0"/>
    <w:rsid w:val="00B8376A"/>
    <w:rsid w:val="00B85E44"/>
    <w:rsid w:val="00B864D2"/>
    <w:rsid w:val="00B87B8F"/>
    <w:rsid w:val="00B87C5F"/>
    <w:rsid w:val="00B92C2A"/>
    <w:rsid w:val="00B9346B"/>
    <w:rsid w:val="00B945C9"/>
    <w:rsid w:val="00BA7316"/>
    <w:rsid w:val="00BB10D4"/>
    <w:rsid w:val="00BB3294"/>
    <w:rsid w:val="00BC07B2"/>
    <w:rsid w:val="00BC0C87"/>
    <w:rsid w:val="00BD3E6B"/>
    <w:rsid w:val="00BE6FAE"/>
    <w:rsid w:val="00BF3791"/>
    <w:rsid w:val="00C05623"/>
    <w:rsid w:val="00C11055"/>
    <w:rsid w:val="00C11803"/>
    <w:rsid w:val="00C11B4C"/>
    <w:rsid w:val="00C142D2"/>
    <w:rsid w:val="00C15C77"/>
    <w:rsid w:val="00C23085"/>
    <w:rsid w:val="00C2471A"/>
    <w:rsid w:val="00C3132D"/>
    <w:rsid w:val="00C3149B"/>
    <w:rsid w:val="00C5183F"/>
    <w:rsid w:val="00C523F4"/>
    <w:rsid w:val="00C54511"/>
    <w:rsid w:val="00C71E74"/>
    <w:rsid w:val="00C82C80"/>
    <w:rsid w:val="00C836FB"/>
    <w:rsid w:val="00C84EFE"/>
    <w:rsid w:val="00C86425"/>
    <w:rsid w:val="00C9120D"/>
    <w:rsid w:val="00C96407"/>
    <w:rsid w:val="00C96C03"/>
    <w:rsid w:val="00CA4636"/>
    <w:rsid w:val="00CB0EDA"/>
    <w:rsid w:val="00CB4D37"/>
    <w:rsid w:val="00CB5E28"/>
    <w:rsid w:val="00CC2B10"/>
    <w:rsid w:val="00CD2097"/>
    <w:rsid w:val="00CD610B"/>
    <w:rsid w:val="00CD64B2"/>
    <w:rsid w:val="00CD77BC"/>
    <w:rsid w:val="00CE20F1"/>
    <w:rsid w:val="00CE393E"/>
    <w:rsid w:val="00CE56FF"/>
    <w:rsid w:val="00CF0A83"/>
    <w:rsid w:val="00CF1F36"/>
    <w:rsid w:val="00D001BF"/>
    <w:rsid w:val="00D0049A"/>
    <w:rsid w:val="00D0674C"/>
    <w:rsid w:val="00D13DDD"/>
    <w:rsid w:val="00D23BDB"/>
    <w:rsid w:val="00D242BA"/>
    <w:rsid w:val="00D25F21"/>
    <w:rsid w:val="00D26F9F"/>
    <w:rsid w:val="00D319BA"/>
    <w:rsid w:val="00D35663"/>
    <w:rsid w:val="00D41FEF"/>
    <w:rsid w:val="00D54E25"/>
    <w:rsid w:val="00D7097F"/>
    <w:rsid w:val="00D9029B"/>
    <w:rsid w:val="00DA133F"/>
    <w:rsid w:val="00DB19EA"/>
    <w:rsid w:val="00DB4210"/>
    <w:rsid w:val="00DB428A"/>
    <w:rsid w:val="00DC1B0C"/>
    <w:rsid w:val="00DD1951"/>
    <w:rsid w:val="00DF38F3"/>
    <w:rsid w:val="00E01AE9"/>
    <w:rsid w:val="00E03060"/>
    <w:rsid w:val="00E0375A"/>
    <w:rsid w:val="00E066B4"/>
    <w:rsid w:val="00E1012C"/>
    <w:rsid w:val="00E15732"/>
    <w:rsid w:val="00E22BA1"/>
    <w:rsid w:val="00E36BFB"/>
    <w:rsid w:val="00E36E50"/>
    <w:rsid w:val="00E42974"/>
    <w:rsid w:val="00E5163D"/>
    <w:rsid w:val="00E51E1F"/>
    <w:rsid w:val="00E70CA5"/>
    <w:rsid w:val="00E768B3"/>
    <w:rsid w:val="00E96D83"/>
    <w:rsid w:val="00EB0294"/>
    <w:rsid w:val="00EB5152"/>
    <w:rsid w:val="00ED3544"/>
    <w:rsid w:val="00ED739E"/>
    <w:rsid w:val="00EE2944"/>
    <w:rsid w:val="00EE68A6"/>
    <w:rsid w:val="00EE7D5B"/>
    <w:rsid w:val="00EF0772"/>
    <w:rsid w:val="00EF112B"/>
    <w:rsid w:val="00EF60ED"/>
    <w:rsid w:val="00F034BA"/>
    <w:rsid w:val="00F114E0"/>
    <w:rsid w:val="00F11EF3"/>
    <w:rsid w:val="00F1311D"/>
    <w:rsid w:val="00F13FFD"/>
    <w:rsid w:val="00F1578C"/>
    <w:rsid w:val="00F304BD"/>
    <w:rsid w:val="00F360A6"/>
    <w:rsid w:val="00F36C54"/>
    <w:rsid w:val="00F4152B"/>
    <w:rsid w:val="00F45A12"/>
    <w:rsid w:val="00F45E5D"/>
    <w:rsid w:val="00F524DA"/>
    <w:rsid w:val="00F52D8E"/>
    <w:rsid w:val="00F57795"/>
    <w:rsid w:val="00F57FC9"/>
    <w:rsid w:val="00F64756"/>
    <w:rsid w:val="00F94EF6"/>
    <w:rsid w:val="00F9505E"/>
    <w:rsid w:val="00F95A1F"/>
    <w:rsid w:val="00F96E21"/>
    <w:rsid w:val="00F97420"/>
    <w:rsid w:val="00F97CFE"/>
    <w:rsid w:val="00FA3D8A"/>
    <w:rsid w:val="00FA4408"/>
    <w:rsid w:val="00FA7C17"/>
    <w:rsid w:val="00FB35AF"/>
    <w:rsid w:val="00FB396E"/>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08">
      <w:bodyDiv w:val="1"/>
      <w:marLeft w:val="0"/>
      <w:marRight w:val="0"/>
      <w:marTop w:val="0"/>
      <w:marBottom w:val="0"/>
      <w:divBdr>
        <w:top w:val="none" w:sz="0" w:space="0" w:color="auto"/>
        <w:left w:val="none" w:sz="0" w:space="0" w:color="auto"/>
        <w:bottom w:val="none" w:sz="0" w:space="0" w:color="auto"/>
        <w:right w:val="none" w:sz="0" w:space="0" w:color="auto"/>
      </w:divBdr>
    </w:div>
    <w:div w:id="217714182">
      <w:bodyDiv w:val="1"/>
      <w:marLeft w:val="0"/>
      <w:marRight w:val="0"/>
      <w:marTop w:val="0"/>
      <w:marBottom w:val="0"/>
      <w:divBdr>
        <w:top w:val="none" w:sz="0" w:space="0" w:color="auto"/>
        <w:left w:val="none" w:sz="0" w:space="0" w:color="auto"/>
        <w:bottom w:val="none" w:sz="0" w:space="0" w:color="auto"/>
        <w:right w:val="none" w:sz="0" w:space="0" w:color="auto"/>
      </w:divBdr>
    </w:div>
    <w:div w:id="248318887">
      <w:bodyDiv w:val="1"/>
      <w:marLeft w:val="0"/>
      <w:marRight w:val="0"/>
      <w:marTop w:val="0"/>
      <w:marBottom w:val="0"/>
      <w:divBdr>
        <w:top w:val="none" w:sz="0" w:space="0" w:color="auto"/>
        <w:left w:val="none" w:sz="0" w:space="0" w:color="auto"/>
        <w:bottom w:val="none" w:sz="0" w:space="0" w:color="auto"/>
        <w:right w:val="none" w:sz="0" w:space="0" w:color="auto"/>
      </w:divBdr>
    </w:div>
    <w:div w:id="479856771">
      <w:bodyDiv w:val="1"/>
      <w:marLeft w:val="0"/>
      <w:marRight w:val="0"/>
      <w:marTop w:val="0"/>
      <w:marBottom w:val="0"/>
      <w:divBdr>
        <w:top w:val="none" w:sz="0" w:space="0" w:color="auto"/>
        <w:left w:val="none" w:sz="0" w:space="0" w:color="auto"/>
        <w:bottom w:val="none" w:sz="0" w:space="0" w:color="auto"/>
        <w:right w:val="none" w:sz="0" w:space="0" w:color="auto"/>
      </w:divBdr>
    </w:div>
    <w:div w:id="586156578">
      <w:bodyDiv w:val="1"/>
      <w:marLeft w:val="0"/>
      <w:marRight w:val="0"/>
      <w:marTop w:val="0"/>
      <w:marBottom w:val="0"/>
      <w:divBdr>
        <w:top w:val="none" w:sz="0" w:space="0" w:color="auto"/>
        <w:left w:val="none" w:sz="0" w:space="0" w:color="auto"/>
        <w:bottom w:val="none" w:sz="0" w:space="0" w:color="auto"/>
        <w:right w:val="none" w:sz="0" w:space="0" w:color="auto"/>
      </w:divBdr>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171874818">
      <w:bodyDiv w:val="1"/>
      <w:marLeft w:val="0"/>
      <w:marRight w:val="0"/>
      <w:marTop w:val="0"/>
      <w:marBottom w:val="0"/>
      <w:divBdr>
        <w:top w:val="none" w:sz="0" w:space="0" w:color="auto"/>
        <w:left w:val="none" w:sz="0" w:space="0" w:color="auto"/>
        <w:bottom w:val="none" w:sz="0" w:space="0" w:color="auto"/>
        <w:right w:val="none" w:sz="0" w:space="0" w:color="auto"/>
      </w:divBdr>
    </w:div>
    <w:div w:id="1185947695">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210847993">
      <w:bodyDiv w:val="1"/>
      <w:marLeft w:val="0"/>
      <w:marRight w:val="0"/>
      <w:marTop w:val="0"/>
      <w:marBottom w:val="0"/>
      <w:divBdr>
        <w:top w:val="none" w:sz="0" w:space="0" w:color="auto"/>
        <w:left w:val="none" w:sz="0" w:space="0" w:color="auto"/>
        <w:bottom w:val="none" w:sz="0" w:space="0" w:color="auto"/>
        <w:right w:val="none" w:sz="0" w:space="0" w:color="auto"/>
      </w:divBdr>
    </w:div>
    <w:div w:id="1215045967">
      <w:bodyDiv w:val="1"/>
      <w:marLeft w:val="0"/>
      <w:marRight w:val="0"/>
      <w:marTop w:val="0"/>
      <w:marBottom w:val="0"/>
      <w:divBdr>
        <w:top w:val="none" w:sz="0" w:space="0" w:color="auto"/>
        <w:left w:val="none" w:sz="0" w:space="0" w:color="auto"/>
        <w:bottom w:val="none" w:sz="0" w:space="0" w:color="auto"/>
        <w:right w:val="none" w:sz="0" w:space="0" w:color="auto"/>
      </w:divBdr>
    </w:div>
    <w:div w:id="1236552623">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715887791">
      <w:bodyDiv w:val="1"/>
      <w:marLeft w:val="0"/>
      <w:marRight w:val="0"/>
      <w:marTop w:val="0"/>
      <w:marBottom w:val="0"/>
      <w:divBdr>
        <w:top w:val="none" w:sz="0" w:space="0" w:color="auto"/>
        <w:left w:val="none" w:sz="0" w:space="0" w:color="auto"/>
        <w:bottom w:val="none" w:sz="0" w:space="0" w:color="auto"/>
        <w:right w:val="none" w:sz="0" w:space="0" w:color="auto"/>
      </w:divBdr>
    </w:div>
    <w:div w:id="20489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gov/medicare-coverage-database/view/article.aspx?articleid=524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payment/part-b-drugs/asp-pricing-files" TargetMode="External"/><Relationship Id="rId5" Type="http://schemas.openxmlformats.org/officeDocument/2006/relationships/styles" Target="styles.xml"/><Relationship Id="rId10" Type="http://schemas.openxmlformats.org/officeDocument/2006/relationships/hyperlink" Target="https://www.eternalhealth.com/wp-content/uploads/2022/10/eternalHealth_MA-Part-B-PA-List-eff-1-1-2025.pdf" TargetMode="External"/><Relationship Id="rId4" Type="http://schemas.openxmlformats.org/officeDocument/2006/relationships/numbering" Target="numbering.xml"/><Relationship Id="rId9" Type="http://schemas.openxmlformats.org/officeDocument/2006/relationships/hyperlink" Target="https://welcome.optumrx.com/rxexternal/external-prescription-drug-list?type=PDPClientFormulary&amp;var=X25ETEGD&amp;infoid=X25ETEGD&amp;clientCode=ETHOED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7D37D-E0D8-46F7-BEDF-FFBFBD885B46}">
  <ds:schemaRefs>
    <ds:schemaRef ds:uri="http://schemas.microsoft.com/sharepoint/v3/contenttype/forms"/>
  </ds:schemaRefs>
</ds:datastoreItem>
</file>

<file path=customXml/itemProps2.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 ds:uri="febe0462-7ad9-4cf3-8274-aa0cc4f080f3"/>
    <ds:schemaRef ds:uri="2498f20f-782f-4f87-afd5-421022d6a89d"/>
  </ds:schemaRefs>
</ds:datastoreItem>
</file>

<file path=customXml/itemProps3.xml><?xml version="1.0" encoding="utf-8"?>
<ds:datastoreItem xmlns:ds="http://schemas.openxmlformats.org/officeDocument/2006/customXml" ds:itemID="{1576294F-1673-4B34-8AB7-73EE5068C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0462-7ad9-4cf3-8274-aa0cc4f080f3"/>
    <ds:schemaRef ds:uri="2498f20f-782f-4f87-afd5-421022d6a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12521</Characters>
  <Application>Microsoft Office Word</Application>
  <DocSecurity>0</DocSecurity>
  <Lines>310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5</cp:revision>
  <dcterms:created xsi:type="dcterms:W3CDTF">2025-04-09T14:00:00Z</dcterms:created>
  <dcterms:modified xsi:type="dcterms:W3CDTF">2025-10-07T17:59:00Z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y fmtid="{D5CDD505-2E9C-101B-9397-08002B2CF9AE}" pid="3" name="MediaServiceImageTags">
    <vt:lpwstr/>
  </property>
</Properties>
</file>