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21E23" w14:textId="739D08A7" w:rsidR="00682D71" w:rsidRDefault="00171CC3">
      <w:r>
        <w:rPr>
          <w:noProof/>
        </w:rPr>
        <w:drawing>
          <wp:anchor distT="0" distB="0" distL="114300" distR="114300" simplePos="0" relativeHeight="251659264" behindDoc="1" locked="0" layoutInCell="1" allowOverlap="1" wp14:anchorId="6A61DFF5" wp14:editId="6318911E">
            <wp:simplePos x="0" y="0"/>
            <wp:positionH relativeFrom="column">
              <wp:posOffset>1060704</wp:posOffset>
            </wp:positionH>
            <wp:positionV relativeFrom="paragraph">
              <wp:posOffset>17290</wp:posOffset>
            </wp:positionV>
            <wp:extent cx="3721100" cy="644869"/>
            <wp:effectExtent l="0" t="0" r="0" b="3175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644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836E08" w14:textId="77777777" w:rsidR="00171CC3" w:rsidRPr="00171CC3" w:rsidRDefault="00171CC3" w:rsidP="00171CC3"/>
    <w:p w14:paraId="45427FC3" w14:textId="77777777" w:rsidR="00171CC3" w:rsidRPr="00A95390" w:rsidRDefault="00171CC3" w:rsidP="00171CC3">
      <w:pPr>
        <w:widowControl w:val="0"/>
        <w:autoSpaceDE w:val="0"/>
        <w:autoSpaceDN w:val="0"/>
        <w:spacing w:before="40" w:line="305" w:lineRule="auto"/>
        <w:ind w:right="432"/>
        <w:rPr>
          <w:rFonts w:ascii="Montserrat" w:eastAsia="Calibri" w:hAnsi="Montserrat" w:cs="Calibri"/>
          <w:color w:val="4A9EFF"/>
          <w:sz w:val="44"/>
          <w:szCs w:val="54"/>
          <w:lang w:bidi="en-US"/>
        </w:rPr>
      </w:pPr>
      <w:r w:rsidRPr="00A95390">
        <w:rPr>
          <w:rFonts w:ascii="Montserrat" w:eastAsia="Calibri" w:hAnsi="Montserrat" w:cs="Calibri"/>
          <w:noProof/>
          <w:lang w:bidi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894559" wp14:editId="12363257">
                <wp:simplePos x="0" y="0"/>
                <wp:positionH relativeFrom="margin">
                  <wp:align>right</wp:align>
                </wp:positionH>
                <wp:positionV relativeFrom="paragraph">
                  <wp:posOffset>335915</wp:posOffset>
                </wp:positionV>
                <wp:extent cx="59182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82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64CE3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696D9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8pt,26.45pt" to="880.8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" strokecolor="#64ce3a" strokeweight="1.5pt">
                <v:stroke joinstyle="miter"/>
                <w10:wrap anchorx="margin"/>
              </v:line>
            </w:pict>
          </mc:Fallback>
        </mc:AlternateContent>
      </w:r>
    </w:p>
    <w:p w14:paraId="232C432B" w14:textId="77777777" w:rsidR="00171CC3" w:rsidRPr="00171CC3" w:rsidRDefault="00171CC3" w:rsidP="00171CC3">
      <w:pPr>
        <w:widowControl w:val="0"/>
        <w:autoSpaceDE w:val="0"/>
        <w:autoSpaceDN w:val="0"/>
        <w:spacing w:after="0" w:line="240" w:lineRule="auto"/>
        <w:ind w:left="432" w:right="432"/>
        <w:jc w:val="center"/>
        <w:rPr>
          <w:rFonts w:ascii="Futura" w:eastAsia="Calibri" w:hAnsi="Futura" w:cs="Times New Roman"/>
          <w:color w:val="00AEDB"/>
          <w:sz w:val="24"/>
          <w:szCs w:val="24"/>
        </w:rPr>
      </w:pPr>
    </w:p>
    <w:p w14:paraId="74198E9A" w14:textId="77777777" w:rsidR="00171CC3" w:rsidRPr="00171CC3" w:rsidRDefault="00171CC3" w:rsidP="00171CC3">
      <w:pPr>
        <w:widowControl w:val="0"/>
        <w:autoSpaceDE w:val="0"/>
        <w:autoSpaceDN w:val="0"/>
        <w:spacing w:after="0" w:line="240" w:lineRule="auto"/>
        <w:ind w:left="432" w:right="432"/>
        <w:jc w:val="center"/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</w:pPr>
      <w:r w:rsidRPr="00171CC3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 xml:space="preserve">Policy and Procedure </w:t>
      </w:r>
    </w:p>
    <w:p w14:paraId="13809CD0" w14:textId="419D6A86" w:rsidR="00171CC3" w:rsidRPr="00171CC3" w:rsidRDefault="00B945C9" w:rsidP="00171CC3">
      <w:pPr>
        <w:widowControl w:val="0"/>
        <w:autoSpaceDE w:val="0"/>
        <w:autoSpaceDN w:val="0"/>
        <w:spacing w:after="0" w:line="240" w:lineRule="auto"/>
        <w:ind w:left="432" w:right="432"/>
        <w:jc w:val="center"/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</w:pPr>
      <w:r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>Neurotoxins</w:t>
      </w:r>
    </w:p>
    <w:p w14:paraId="480C9C92" w14:textId="6B6B174F" w:rsidR="00171CC3" w:rsidRPr="005226EB" w:rsidRDefault="00171CC3" w:rsidP="00171CC3">
      <w:pPr>
        <w:widowControl w:val="0"/>
        <w:autoSpaceDE w:val="0"/>
        <w:autoSpaceDN w:val="0"/>
        <w:spacing w:after="0" w:line="240" w:lineRule="auto"/>
        <w:ind w:left="432" w:right="432"/>
        <w:jc w:val="center"/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</w:pPr>
      <w:r w:rsidRPr="005226EB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>POLICY #</w:t>
      </w:r>
      <w:r w:rsidR="0033442B" w:rsidRPr="005226EB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 xml:space="preserve"> </w:t>
      </w:r>
      <w:r w:rsidR="00690ED4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>UMST-1</w:t>
      </w:r>
    </w:p>
    <w:p w14:paraId="26DF720B" w14:textId="3A97F0F8" w:rsidR="00171CC3" w:rsidRPr="00171CC3" w:rsidRDefault="00171CC3" w:rsidP="00171CC3">
      <w:pPr>
        <w:widowControl w:val="0"/>
        <w:autoSpaceDE w:val="0"/>
        <w:autoSpaceDN w:val="0"/>
        <w:spacing w:after="0" w:line="240" w:lineRule="auto"/>
        <w:ind w:left="432" w:right="432"/>
        <w:jc w:val="center"/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</w:pPr>
      <w:r w:rsidRPr="005226EB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 xml:space="preserve">Version: </w:t>
      </w:r>
      <w:r w:rsidR="00E15732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>1</w:t>
      </w:r>
      <w:r w:rsidR="001A17A5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>.0</w:t>
      </w:r>
      <w:r w:rsidR="00C11B4C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 xml:space="preserve"> </w:t>
      </w:r>
      <w:r w:rsidR="0033442B" w:rsidRPr="005226EB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 xml:space="preserve"> </w:t>
      </w:r>
    </w:p>
    <w:p w14:paraId="6526E423" w14:textId="77777777" w:rsidR="00171CC3" w:rsidRDefault="00171CC3" w:rsidP="00171CC3">
      <w:pPr>
        <w:widowControl w:val="0"/>
        <w:autoSpaceDE w:val="0"/>
        <w:autoSpaceDN w:val="0"/>
        <w:spacing w:line="240" w:lineRule="auto"/>
        <w:rPr>
          <w:rFonts w:ascii="Futura" w:eastAsia="Calibri" w:hAnsi="Futura" w:cs="Calibri"/>
          <w:color w:val="4A9EFF"/>
          <w:sz w:val="24"/>
          <w:szCs w:val="24"/>
          <w:lang w:bidi="en-US"/>
        </w:rPr>
      </w:pPr>
    </w:p>
    <w:p w14:paraId="712B0DD6" w14:textId="77777777" w:rsidR="00320403" w:rsidRDefault="00171CC3" w:rsidP="00320403">
      <w:pPr>
        <w:widowControl w:val="0"/>
        <w:autoSpaceDE w:val="0"/>
        <w:autoSpaceDN w:val="0"/>
        <w:spacing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 w:rsidRPr="00171CC3">
        <w:rPr>
          <w:rFonts w:ascii="Futura" w:eastAsia="Calibri" w:hAnsi="Futura" w:cs="Calibri"/>
          <w:noProof/>
          <w:sz w:val="24"/>
          <w:szCs w:val="24"/>
          <w:lang w:bidi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5E043" wp14:editId="61E94E1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59182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82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64CE3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99746C" id="Straight Connector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5pt" to="46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" strokecolor="#64ce3a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615"/>
        <w:gridCol w:w="2880"/>
        <w:gridCol w:w="1890"/>
        <w:gridCol w:w="2945"/>
      </w:tblGrid>
      <w:tr w:rsidR="00320403" w14:paraId="0538398F" w14:textId="77777777" w:rsidTr="003204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BBECC85" w14:textId="77777777" w:rsidR="00320403" w:rsidRPr="00E15732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 w:rsidRPr="00E15732"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Binder:</w:t>
            </w:r>
          </w:p>
        </w:tc>
        <w:tc>
          <w:tcPr>
            <w:tcW w:w="28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22CD696" w14:textId="593E3FE5" w:rsidR="00320403" w:rsidRDefault="00690ED4" w:rsidP="00CD77BC">
            <w:pPr>
              <w:widowControl w:val="0"/>
              <w:autoSpaceDE w:val="0"/>
              <w:autoSpaceDN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UM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D311E06" w14:textId="77777777" w:rsidR="00320403" w:rsidRDefault="00320403">
            <w:pPr>
              <w:widowControl w:val="0"/>
              <w:autoSpaceDE w:val="0"/>
              <w:autoSpaceDN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Department:</w:t>
            </w:r>
          </w:p>
        </w:tc>
        <w:tc>
          <w:tcPr>
            <w:tcW w:w="29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0598461" w14:textId="7076B979" w:rsidR="00320403" w:rsidRDefault="00D001B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Medical Management-UM</w:t>
            </w:r>
          </w:p>
        </w:tc>
      </w:tr>
      <w:tr w:rsidR="00320403" w14:paraId="5988EF9A" w14:textId="77777777" w:rsidTr="00320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904DEE4" w14:textId="77777777" w:rsidR="00320403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Policy Contact:</w:t>
            </w:r>
          </w:p>
        </w:tc>
        <w:tc>
          <w:tcPr>
            <w:tcW w:w="28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AE7C508" w14:textId="10EFEE45" w:rsidR="00320403" w:rsidRDefault="002F13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VP Pharmacy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87E7C54" w14:textId="77777777" w:rsidR="00320403" w:rsidRDefault="00320403">
            <w:pPr>
              <w:widowControl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0000"/>
                <w:sz w:val="20"/>
                <w:szCs w:val="20"/>
                <w:lang w:bidi="en-US"/>
              </w:rPr>
              <w:t>Effective Date:</w:t>
            </w:r>
          </w:p>
        </w:tc>
        <w:tc>
          <w:tcPr>
            <w:tcW w:w="29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77473BD" w14:textId="2FDF9530" w:rsidR="00320403" w:rsidRDefault="00C715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1</w:t>
            </w:r>
            <w:r w:rsidR="00D001BF"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/1/2</w:t>
            </w: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6</w:t>
            </w:r>
          </w:p>
        </w:tc>
      </w:tr>
      <w:tr w:rsidR="00320403" w14:paraId="0E783544" w14:textId="77777777" w:rsidTr="00320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55CCDE5" w14:textId="77777777" w:rsidR="00320403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Date Last Reviewed:</w:t>
            </w:r>
          </w:p>
        </w:tc>
        <w:tc>
          <w:tcPr>
            <w:tcW w:w="28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453BA10" w14:textId="4EAF7391" w:rsidR="00320403" w:rsidRDefault="003204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B15B2A2" w14:textId="77777777" w:rsidR="00320403" w:rsidRDefault="00320403">
            <w:pPr>
              <w:widowControl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0000"/>
                <w:sz w:val="20"/>
                <w:szCs w:val="20"/>
                <w:lang w:bidi="en-US"/>
              </w:rPr>
              <w:t>Date of Policy Committee Approval:</w:t>
            </w:r>
          </w:p>
        </w:tc>
        <w:tc>
          <w:tcPr>
            <w:tcW w:w="29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A72BAE2" w14:textId="0C145934" w:rsidR="00320403" w:rsidRPr="001A17A5" w:rsidRDefault="00320403" w:rsidP="001A17A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</w:p>
        </w:tc>
      </w:tr>
    </w:tbl>
    <w:p w14:paraId="34A017EB" w14:textId="77777777" w:rsidR="00320403" w:rsidRDefault="00320403" w:rsidP="00320403">
      <w:pPr>
        <w:widowControl w:val="0"/>
        <w:autoSpaceDE w:val="0"/>
        <w:autoSpaceDN w:val="0"/>
        <w:spacing w:line="240" w:lineRule="auto"/>
        <w:rPr>
          <w:rFonts w:ascii="Futura" w:eastAsia="Calibri" w:hAnsi="Futura" w:cs="Calibri"/>
          <w:b/>
          <w:bCs/>
          <w:color w:val="4A9EFF"/>
          <w:sz w:val="24"/>
          <w:szCs w:val="24"/>
          <w:lang w:bidi="en-US"/>
        </w:rPr>
      </w:pPr>
    </w:p>
    <w:tbl>
      <w:tblPr>
        <w:tblStyle w:val="TableGrid1"/>
        <w:tblW w:w="9345" w:type="dxa"/>
        <w:tblBorders>
          <w:top w:val="single" w:sz="12" w:space="0" w:color="A5A5A5"/>
          <w:left w:val="single" w:sz="12" w:space="0" w:color="A5A5A5"/>
          <w:bottom w:val="single" w:sz="12" w:space="0" w:color="A5A5A5"/>
          <w:right w:val="single" w:sz="12" w:space="0" w:color="A5A5A5"/>
          <w:insideH w:val="single" w:sz="12" w:space="0" w:color="A5A5A5"/>
          <w:insideV w:val="single" w:sz="12" w:space="0" w:color="A5A5A5"/>
        </w:tblBorders>
        <w:tblLook w:val="04A0" w:firstRow="1" w:lastRow="0" w:firstColumn="1" w:lastColumn="0" w:noHBand="0" w:noVBand="1"/>
      </w:tblPr>
      <w:tblGrid>
        <w:gridCol w:w="1546"/>
        <w:gridCol w:w="2510"/>
        <w:gridCol w:w="1880"/>
        <w:gridCol w:w="3409"/>
      </w:tblGrid>
      <w:tr w:rsidR="00320403" w14:paraId="47A77D58" w14:textId="77777777" w:rsidTr="00320403">
        <w:tc>
          <w:tcPr>
            <w:tcW w:w="9345" w:type="dxa"/>
            <w:gridSpan w:val="4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hideMark/>
          </w:tcPr>
          <w:p w14:paraId="7CC25E45" w14:textId="77777777" w:rsidR="00320403" w:rsidRDefault="00320403">
            <w:pPr>
              <w:widowControl w:val="0"/>
              <w:autoSpaceDE w:val="0"/>
              <w:autoSpaceDN w:val="0"/>
              <w:jc w:val="center"/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  <w:t>Revision/Approval History</w:t>
            </w:r>
          </w:p>
        </w:tc>
      </w:tr>
      <w:tr w:rsidR="00320403" w14:paraId="02459072" w14:textId="77777777" w:rsidTr="00320403">
        <w:tc>
          <w:tcPr>
            <w:tcW w:w="1546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hideMark/>
          </w:tcPr>
          <w:p w14:paraId="7F80719B" w14:textId="77777777" w:rsidR="00320403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  <w:t>Date</w:t>
            </w:r>
          </w:p>
        </w:tc>
        <w:tc>
          <w:tcPr>
            <w:tcW w:w="251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hideMark/>
          </w:tcPr>
          <w:p w14:paraId="7D9342F0" w14:textId="77777777" w:rsidR="00320403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  <w:t>Name</w:t>
            </w:r>
          </w:p>
        </w:tc>
        <w:tc>
          <w:tcPr>
            <w:tcW w:w="188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hideMark/>
          </w:tcPr>
          <w:p w14:paraId="157BE64E" w14:textId="77777777" w:rsidR="00320403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  <w:t>Title</w:t>
            </w:r>
          </w:p>
        </w:tc>
        <w:tc>
          <w:tcPr>
            <w:tcW w:w="3409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hideMark/>
          </w:tcPr>
          <w:p w14:paraId="4D3EEE37" w14:textId="77777777" w:rsidR="00320403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  <w:t>Description</w:t>
            </w:r>
          </w:p>
        </w:tc>
      </w:tr>
      <w:tr w:rsidR="00320403" w14:paraId="67145A51" w14:textId="77777777" w:rsidTr="00320403">
        <w:tc>
          <w:tcPr>
            <w:tcW w:w="1546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41C31E6F" w14:textId="21E29CFD" w:rsidR="00320403" w:rsidRDefault="002B6217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2/18/25</w:t>
            </w:r>
          </w:p>
        </w:tc>
        <w:tc>
          <w:tcPr>
            <w:tcW w:w="251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75736AEE" w14:textId="40E4F33F" w:rsidR="00320403" w:rsidRDefault="00E768B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 xml:space="preserve">Policy &amp; Procedure Committee </w:t>
            </w:r>
          </w:p>
        </w:tc>
        <w:tc>
          <w:tcPr>
            <w:tcW w:w="188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67DA1ECD" w14:textId="45FC0F7E" w:rsidR="00320403" w:rsidRDefault="002B6217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Submission</w:t>
            </w:r>
          </w:p>
        </w:tc>
        <w:tc>
          <w:tcPr>
            <w:tcW w:w="3409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35DC7F81" w14:textId="45489438" w:rsidR="00320403" w:rsidRDefault="00CB5E28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 xml:space="preserve">New policy. </w:t>
            </w:r>
          </w:p>
        </w:tc>
      </w:tr>
      <w:tr w:rsidR="00320403" w14:paraId="7973D708" w14:textId="77777777" w:rsidTr="00320403">
        <w:tc>
          <w:tcPr>
            <w:tcW w:w="1546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12D9C931" w14:textId="2AC73033" w:rsidR="00320403" w:rsidRDefault="002B6217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2/18/25</w:t>
            </w:r>
          </w:p>
        </w:tc>
        <w:tc>
          <w:tcPr>
            <w:tcW w:w="251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480828A1" w14:textId="20461F0B" w:rsidR="00320403" w:rsidRDefault="002B6217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UM Committee</w:t>
            </w:r>
          </w:p>
        </w:tc>
        <w:tc>
          <w:tcPr>
            <w:tcW w:w="188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7C0B7B6E" w14:textId="42C52C38" w:rsidR="00320403" w:rsidRDefault="002B6217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Submission</w:t>
            </w:r>
          </w:p>
        </w:tc>
        <w:tc>
          <w:tcPr>
            <w:tcW w:w="3409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5F8B2E15" w14:textId="3776550C" w:rsidR="00320403" w:rsidRDefault="002B6217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New policy.</w:t>
            </w:r>
          </w:p>
        </w:tc>
      </w:tr>
      <w:tr w:rsidR="00C715B9" w14:paraId="384CDF75" w14:textId="77777777" w:rsidTr="00320403">
        <w:tc>
          <w:tcPr>
            <w:tcW w:w="1546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28DFD0E5" w14:textId="265AA382" w:rsidR="00C715B9" w:rsidRDefault="00C715B9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8/4/25</w:t>
            </w:r>
          </w:p>
        </w:tc>
        <w:tc>
          <w:tcPr>
            <w:tcW w:w="251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2D5DA813" w14:textId="7DB96772" w:rsidR="00C715B9" w:rsidRDefault="00C715B9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UM Committee</w:t>
            </w:r>
          </w:p>
        </w:tc>
        <w:tc>
          <w:tcPr>
            <w:tcW w:w="188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7D05B44B" w14:textId="6DAE180E" w:rsidR="00C715B9" w:rsidRDefault="00C715B9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Review</w:t>
            </w:r>
          </w:p>
        </w:tc>
        <w:tc>
          <w:tcPr>
            <w:tcW w:w="3409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5EE2A7D1" w14:textId="77777777" w:rsidR="00C715B9" w:rsidRDefault="00C715B9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</w:p>
        </w:tc>
      </w:tr>
    </w:tbl>
    <w:p w14:paraId="67C7852D" w14:textId="77777777" w:rsidR="00320403" w:rsidRDefault="00320403" w:rsidP="00320403">
      <w:pPr>
        <w:spacing w:after="0" w:line="240" w:lineRule="auto"/>
        <w:jc w:val="center"/>
        <w:rPr>
          <w:rFonts w:ascii="Futura" w:hAnsi="Futura"/>
          <w:color w:val="00AEDB"/>
          <w:sz w:val="24"/>
          <w:szCs w:val="24"/>
        </w:rPr>
      </w:pPr>
    </w:p>
    <w:p w14:paraId="6C4CF2DA" w14:textId="77777777" w:rsidR="00320403" w:rsidRDefault="00320403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Policy:</w:t>
      </w:r>
    </w:p>
    <w:p w14:paraId="2ECE6697" w14:textId="164DFCC8" w:rsidR="00B60BDE" w:rsidRDefault="00B60BDE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13E7F185" w14:textId="662A3BCD" w:rsidR="00581FB0" w:rsidRDefault="004F5EE3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>This policy stands to show the criteria for and preferencing of</w:t>
      </w:r>
      <w:r w:rsidR="00827A7B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agents within the therapeutic class of Neuromuscular Blockers-Neurotoxins.  At the time of creation of this policy, there are </w:t>
      </w:r>
      <w:r w:rsidR="004B7D63">
        <w:rPr>
          <w:rFonts w:ascii="Futura" w:eastAsia="Calibri" w:hAnsi="Futura" w:cs="Calibri"/>
          <w:color w:val="000000"/>
          <w:sz w:val="20"/>
          <w:szCs w:val="20"/>
          <w:lang w:bidi="en-US"/>
        </w:rPr>
        <w:t>five agents to be reviewed: onabotulin</w:t>
      </w:r>
      <w:r w:rsidR="004807F3">
        <w:rPr>
          <w:rFonts w:ascii="Futura" w:eastAsia="Calibri" w:hAnsi="Futura" w:cs="Calibri"/>
          <w:color w:val="000000"/>
          <w:sz w:val="20"/>
          <w:szCs w:val="20"/>
          <w:lang w:bidi="en-US"/>
        </w:rPr>
        <w:t>umtoxinA (Botox)</w:t>
      </w:r>
      <w:r w:rsidR="00CE393E">
        <w:rPr>
          <w:rFonts w:ascii="Futura" w:eastAsia="Calibri" w:hAnsi="Futura" w:cs="Calibri"/>
          <w:color w:val="000000"/>
          <w:sz w:val="20"/>
          <w:szCs w:val="20"/>
          <w:lang w:bidi="en-US"/>
        </w:rPr>
        <w:t>- J0585</w:t>
      </w:r>
      <w:r w:rsidR="004807F3">
        <w:rPr>
          <w:rFonts w:ascii="Futura" w:eastAsia="Calibri" w:hAnsi="Futura" w:cs="Calibri"/>
          <w:color w:val="000000"/>
          <w:sz w:val="20"/>
          <w:szCs w:val="20"/>
          <w:lang w:bidi="en-US"/>
        </w:rPr>
        <w:t>, abobotulinumtoxinA (Dysport)</w:t>
      </w:r>
      <w:r w:rsidR="00CE393E">
        <w:rPr>
          <w:rFonts w:ascii="Futura" w:eastAsia="Calibri" w:hAnsi="Futura" w:cs="Calibri"/>
          <w:color w:val="000000"/>
          <w:sz w:val="20"/>
          <w:szCs w:val="20"/>
          <w:lang w:bidi="en-US"/>
        </w:rPr>
        <w:t>- J0586</w:t>
      </w:r>
      <w:r w:rsidR="004807F3">
        <w:rPr>
          <w:rFonts w:ascii="Futura" w:eastAsia="Calibri" w:hAnsi="Futura" w:cs="Calibri"/>
          <w:color w:val="000000"/>
          <w:sz w:val="20"/>
          <w:szCs w:val="20"/>
          <w:lang w:bidi="en-US"/>
        </w:rPr>
        <w:t>, incobotulinumtoxinA (Xeomin)</w:t>
      </w:r>
      <w:r w:rsidR="00CE393E">
        <w:rPr>
          <w:rFonts w:ascii="Futura" w:eastAsia="Calibri" w:hAnsi="Futura" w:cs="Calibri"/>
          <w:color w:val="000000"/>
          <w:sz w:val="20"/>
          <w:szCs w:val="20"/>
          <w:lang w:bidi="en-US"/>
        </w:rPr>
        <w:t>- J058</w:t>
      </w:r>
      <w:r w:rsidR="00ED3544">
        <w:rPr>
          <w:rFonts w:ascii="Futura" w:eastAsia="Calibri" w:hAnsi="Futura" w:cs="Calibri"/>
          <w:color w:val="000000"/>
          <w:sz w:val="20"/>
          <w:szCs w:val="20"/>
          <w:lang w:bidi="en-US"/>
        </w:rPr>
        <w:t>8</w:t>
      </w:r>
      <w:r w:rsidR="004807F3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, </w:t>
      </w:r>
      <w:r w:rsidR="001B7406">
        <w:rPr>
          <w:rFonts w:ascii="Futura" w:eastAsia="Calibri" w:hAnsi="Futura" w:cs="Calibri"/>
          <w:color w:val="000000"/>
          <w:sz w:val="20"/>
          <w:szCs w:val="20"/>
          <w:lang w:bidi="en-US"/>
        </w:rPr>
        <w:t>daxibotulinumtoxinA-lanm (Daxxify</w:t>
      </w:r>
      <w:r w:rsidR="00A11D07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)-J0589, </w:t>
      </w:r>
      <w:r w:rsidR="00ED354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and </w:t>
      </w:r>
      <w:r w:rsidR="004807F3">
        <w:rPr>
          <w:rFonts w:ascii="Futura" w:eastAsia="Calibri" w:hAnsi="Futura" w:cs="Calibri"/>
          <w:color w:val="000000"/>
          <w:sz w:val="20"/>
          <w:szCs w:val="20"/>
          <w:lang w:bidi="en-US"/>
        </w:rPr>
        <w:t>rimabotulinumtoxinB (Myobloc)</w:t>
      </w:r>
      <w:r w:rsidR="00ED3544">
        <w:rPr>
          <w:rFonts w:ascii="Futura" w:eastAsia="Calibri" w:hAnsi="Futura" w:cs="Calibri"/>
          <w:color w:val="000000"/>
          <w:sz w:val="20"/>
          <w:szCs w:val="20"/>
          <w:lang w:bidi="en-US"/>
        </w:rPr>
        <w:t>- J0587</w:t>
      </w:r>
      <w:r w:rsidR="004807F3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.  The </w:t>
      </w:r>
      <w:r w:rsidR="00C71E7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review includes review of product package inserts for </w:t>
      </w:r>
      <w:r w:rsidR="00222323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FDA approved </w:t>
      </w:r>
      <w:r w:rsidR="00C71E7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indications and limitations, ASP pricing files updated quarterly, </w:t>
      </w:r>
      <w:r w:rsidR="00BB329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any external evidence available through CMS approved </w:t>
      </w:r>
      <w:r w:rsidR="00A11D07">
        <w:rPr>
          <w:rFonts w:ascii="Futura" w:eastAsia="Calibri" w:hAnsi="Futura" w:cs="Calibri"/>
          <w:color w:val="000000"/>
          <w:sz w:val="20"/>
          <w:szCs w:val="20"/>
          <w:lang w:bidi="en-US"/>
        </w:rPr>
        <w:t>compendia, NCD</w:t>
      </w:r>
      <w:r w:rsidR="00BB3294">
        <w:rPr>
          <w:rFonts w:ascii="Futura" w:eastAsia="Calibri" w:hAnsi="Futura" w:cs="Calibri"/>
          <w:color w:val="000000"/>
          <w:sz w:val="20"/>
          <w:szCs w:val="20"/>
          <w:lang w:bidi="en-US"/>
        </w:rPr>
        <w:t>/LCD information</w:t>
      </w:r>
      <w:r w:rsidR="0029343B">
        <w:rPr>
          <w:rFonts w:ascii="Futura" w:eastAsia="Calibri" w:hAnsi="Futura" w:cs="Calibri"/>
          <w:color w:val="000000"/>
          <w:sz w:val="20"/>
          <w:szCs w:val="20"/>
          <w:lang w:bidi="en-US"/>
        </w:rPr>
        <w:t>, and the approved system used for clinical direction of the Utilization Management team</w:t>
      </w:r>
      <w:r w:rsidR="00006F2B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for agents on the eternalHealth Medicare Part B Prior Auth list</w:t>
      </w:r>
      <w:r w:rsidR="00BB3294">
        <w:rPr>
          <w:rFonts w:ascii="Futura" w:eastAsia="Calibri" w:hAnsi="Futura" w:cs="Calibri"/>
          <w:color w:val="000000"/>
          <w:sz w:val="20"/>
          <w:szCs w:val="20"/>
          <w:lang w:bidi="en-US"/>
        </w:rPr>
        <w:t>.  T</w:t>
      </w:r>
      <w:r w:rsidR="00A85AC1">
        <w:rPr>
          <w:rFonts w:ascii="Futura" w:eastAsia="Calibri" w:hAnsi="Futura" w:cs="Calibri"/>
          <w:color w:val="000000"/>
          <w:sz w:val="20"/>
          <w:szCs w:val="20"/>
          <w:lang w:bidi="en-US"/>
        </w:rPr>
        <w:t>his information combined with a wholistic review of the members’ clinical profile will allow the eternalHealth team to arrive at a decision of clinical appropriateness and is not a guarantee of payment.</w:t>
      </w:r>
    </w:p>
    <w:p w14:paraId="7962C7E4" w14:textId="77777777" w:rsidR="00581FB0" w:rsidRDefault="00581FB0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4D085817" w14:textId="2D9A8FD3" w:rsidR="00E42974" w:rsidRPr="0018204C" w:rsidRDefault="00E42974" w:rsidP="00554794">
      <w:p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 w:rsidRPr="0018204C">
        <w:rPr>
          <w:rFonts w:ascii="Futura" w:hAnsi="Futura"/>
          <w:b/>
          <w:bCs/>
          <w:color w:val="00AEDB"/>
          <w:sz w:val="24"/>
          <w:szCs w:val="24"/>
        </w:rPr>
        <w:t>Exclusions:</w:t>
      </w:r>
    </w:p>
    <w:p w14:paraId="342451C2" w14:textId="1E99C672" w:rsidR="00CD610B" w:rsidRDefault="00E42974" w:rsidP="0072344F">
      <w:pPr>
        <w:numPr>
          <w:ilvl w:val="0"/>
          <w:numId w:val="30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>Agents used for cosmetic</w:t>
      </w:r>
      <w:r w:rsidR="00627E28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purposes will not be covered.  This may include </w:t>
      </w:r>
      <w:r w:rsidR="00436A1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treatment of </w:t>
      </w:r>
      <w:r w:rsidR="00627E28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appearance of </w:t>
      </w:r>
      <w:r w:rsidR="00CD610B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wrinkles which may be submitted as: </w:t>
      </w:r>
      <w:r w:rsidR="00627E28">
        <w:rPr>
          <w:rFonts w:ascii="Futura" w:eastAsia="Calibri" w:hAnsi="Futura" w:cs="Calibri"/>
          <w:color w:val="000000"/>
          <w:sz w:val="20"/>
          <w:szCs w:val="20"/>
          <w:lang w:bidi="en-US"/>
        </w:rPr>
        <w:t>facial lines</w:t>
      </w:r>
      <w:r w:rsidR="00436A1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including glabellar lines, horizontal forehead lines, lateral canthal lines and others.</w:t>
      </w:r>
      <w:r w:rsidR="0072344F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 </w:t>
      </w:r>
    </w:p>
    <w:p w14:paraId="3CD771A5" w14:textId="38306876" w:rsidR="0072344F" w:rsidRPr="0072344F" w:rsidRDefault="0072344F" w:rsidP="0072344F">
      <w:pPr>
        <w:numPr>
          <w:ilvl w:val="0"/>
          <w:numId w:val="30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72344F">
        <w:rPr>
          <w:rFonts w:ascii="Futura" w:eastAsia="Calibri" w:hAnsi="Futura" w:cs="Calibri"/>
          <w:color w:val="000000"/>
          <w:sz w:val="20"/>
          <w:szCs w:val="20"/>
          <w:lang w:bidi="en-US"/>
        </w:rPr>
        <w:t>Payment for more than one injection per site regardless of number of injections made into the sit</w:t>
      </w: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>e</w:t>
      </w:r>
    </w:p>
    <w:p w14:paraId="1CBD30C7" w14:textId="77777777" w:rsidR="0072344F" w:rsidRPr="0072344F" w:rsidRDefault="0072344F" w:rsidP="0072344F">
      <w:pPr>
        <w:numPr>
          <w:ilvl w:val="0"/>
          <w:numId w:val="33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72344F">
        <w:rPr>
          <w:rFonts w:ascii="Futura" w:eastAsia="Calibri" w:hAnsi="Futura" w:cs="Calibri"/>
          <w:color w:val="000000"/>
          <w:sz w:val="20"/>
          <w:szCs w:val="20"/>
          <w:lang w:bidi="en-US"/>
        </w:rPr>
        <w:lastRenderedPageBreak/>
        <w:t>Spastic condition not listed under "ICD-10-CM Codes That Support Medical Necessity" in Article A52848</w:t>
      </w:r>
    </w:p>
    <w:p w14:paraId="210503EF" w14:textId="7D00C5D6" w:rsidR="0072344F" w:rsidRPr="0072344F" w:rsidRDefault="0072344F" w:rsidP="0072344F">
      <w:pPr>
        <w:numPr>
          <w:ilvl w:val="0"/>
          <w:numId w:val="34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72344F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Additional charges for </w:t>
      </w:r>
      <w:r w:rsidR="001B7406" w:rsidRPr="0072344F">
        <w:rPr>
          <w:rFonts w:ascii="Futura" w:eastAsia="Calibri" w:hAnsi="Futura" w:cs="Calibri"/>
          <w:color w:val="000000"/>
          <w:sz w:val="20"/>
          <w:szCs w:val="20"/>
          <w:lang w:bidi="en-US"/>
        </w:rPr>
        <w:t>the cost</w:t>
      </w:r>
      <w:r w:rsidRPr="0072344F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of special syringes</w:t>
      </w:r>
    </w:p>
    <w:p w14:paraId="3B900FFE" w14:textId="0911502F" w:rsidR="0063092D" w:rsidRPr="0063092D" w:rsidRDefault="0063092D" w:rsidP="0063092D">
      <w:pPr>
        <w:numPr>
          <w:ilvl w:val="0"/>
          <w:numId w:val="35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3092D">
        <w:rPr>
          <w:rFonts w:ascii="Futura" w:eastAsia="Calibri" w:hAnsi="Futura" w:cs="Calibri"/>
          <w:color w:val="000000"/>
          <w:sz w:val="20"/>
          <w:szCs w:val="20"/>
          <w:lang w:bidi="en-US"/>
        </w:rPr>
        <w:t>Tension headaches, myofascial pain, irritable colon, biliary dyskinesia, other forms of smooth muscle spasm not specifically addressed in policy, and any other spastic conditions not listed in ICD-10 CM Codes that Support Medical Necessity section of the Billing and Coding article (A57185)</w:t>
      </w:r>
      <w:r w:rsidR="0092568E" w:rsidRPr="0063092D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</w:t>
      </w:r>
    </w:p>
    <w:p w14:paraId="58AF3368" w14:textId="7196EC3A" w:rsidR="0063092D" w:rsidRPr="0063092D" w:rsidRDefault="0063092D" w:rsidP="0063092D">
      <w:pPr>
        <w:numPr>
          <w:ilvl w:val="0"/>
          <w:numId w:val="37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3092D">
        <w:rPr>
          <w:rFonts w:ascii="Futura" w:eastAsia="Calibri" w:hAnsi="Futura" w:cs="Calibri"/>
          <w:color w:val="000000"/>
          <w:sz w:val="20"/>
          <w:szCs w:val="20"/>
          <w:lang w:bidi="en-US"/>
        </w:rPr>
        <w:t>Condition for which acceptance of botulinum toxin has not been established, as indicated by </w:t>
      </w:r>
      <w:r w:rsidRPr="0063092D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1 or more</w:t>
      </w:r>
      <w:r w:rsidRPr="0063092D">
        <w:rPr>
          <w:rFonts w:ascii="Futura" w:eastAsia="Calibri" w:hAnsi="Futura" w:cs="Calibri"/>
          <w:color w:val="000000"/>
          <w:sz w:val="20"/>
          <w:szCs w:val="20"/>
          <w:lang w:bidi="en-US"/>
        </w:rPr>
        <w:t> of the following:</w:t>
      </w:r>
    </w:p>
    <w:p w14:paraId="545412DE" w14:textId="77777777" w:rsidR="0063092D" w:rsidRPr="0063092D" w:rsidRDefault="0063092D" w:rsidP="0063092D">
      <w:pPr>
        <w:numPr>
          <w:ilvl w:val="1"/>
          <w:numId w:val="38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3092D">
        <w:rPr>
          <w:rFonts w:ascii="Futura" w:eastAsia="Calibri" w:hAnsi="Futura" w:cs="Calibri"/>
          <w:color w:val="000000"/>
          <w:sz w:val="20"/>
          <w:szCs w:val="20"/>
          <w:lang w:bidi="en-US"/>
        </w:rPr>
        <w:t>Deviations over 50 prism diopters</w:t>
      </w:r>
    </w:p>
    <w:p w14:paraId="3864B2AE" w14:textId="77777777" w:rsidR="0063092D" w:rsidRPr="0063092D" w:rsidRDefault="0063092D" w:rsidP="0063092D">
      <w:pPr>
        <w:numPr>
          <w:ilvl w:val="1"/>
          <w:numId w:val="39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3092D">
        <w:rPr>
          <w:rFonts w:ascii="Futura" w:eastAsia="Calibri" w:hAnsi="Futura" w:cs="Calibri"/>
          <w:color w:val="000000"/>
          <w:sz w:val="20"/>
          <w:szCs w:val="20"/>
          <w:lang w:bidi="en-US"/>
        </w:rPr>
        <w:t>Restrictive strabismus</w:t>
      </w:r>
    </w:p>
    <w:p w14:paraId="0A27837F" w14:textId="77777777" w:rsidR="0063092D" w:rsidRPr="0063092D" w:rsidRDefault="0063092D" w:rsidP="0063092D">
      <w:pPr>
        <w:numPr>
          <w:ilvl w:val="1"/>
          <w:numId w:val="40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3092D">
        <w:rPr>
          <w:rFonts w:ascii="Futura" w:eastAsia="Calibri" w:hAnsi="Futura" w:cs="Calibri"/>
          <w:color w:val="000000"/>
          <w:sz w:val="20"/>
          <w:szCs w:val="20"/>
          <w:lang w:bidi="en-US"/>
        </w:rPr>
        <w:t>Chronic paralytic strabismus except to reduce antagonist contracture in conjunction with surgical repair</w:t>
      </w:r>
    </w:p>
    <w:p w14:paraId="28EC6126" w14:textId="77777777" w:rsidR="0063092D" w:rsidRPr="0063092D" w:rsidRDefault="0063092D" w:rsidP="0063092D">
      <w:pPr>
        <w:numPr>
          <w:ilvl w:val="1"/>
          <w:numId w:val="41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3092D">
        <w:rPr>
          <w:rFonts w:ascii="Futura" w:eastAsia="Calibri" w:hAnsi="Futura" w:cs="Calibri"/>
          <w:color w:val="000000"/>
          <w:sz w:val="20"/>
          <w:szCs w:val="20"/>
          <w:lang w:bidi="en-US"/>
        </w:rPr>
        <w:t>Duane's syndrome with lateral rectus muscle weakness</w:t>
      </w:r>
    </w:p>
    <w:p w14:paraId="0F57C99F" w14:textId="77777777" w:rsidR="0063092D" w:rsidRPr="0063092D" w:rsidRDefault="0063092D" w:rsidP="0063092D">
      <w:pPr>
        <w:numPr>
          <w:ilvl w:val="1"/>
          <w:numId w:val="42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3092D">
        <w:rPr>
          <w:rFonts w:ascii="Futura" w:eastAsia="Calibri" w:hAnsi="Futura" w:cs="Calibri"/>
          <w:color w:val="000000"/>
          <w:sz w:val="20"/>
          <w:szCs w:val="20"/>
          <w:lang w:bidi="en-US"/>
        </w:rPr>
        <w:t>Recurrent temporomandibular joint disorder</w:t>
      </w:r>
    </w:p>
    <w:p w14:paraId="35DE91EF" w14:textId="26B1356D" w:rsidR="0063092D" w:rsidRPr="0063092D" w:rsidRDefault="00405835" w:rsidP="0063092D">
      <w:pPr>
        <w:numPr>
          <w:ilvl w:val="0"/>
          <w:numId w:val="43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>Any spastic condition of smooth muscle including a</w:t>
      </w:r>
      <w:r w:rsidR="0063092D" w:rsidRPr="0063092D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nal spasm, irritable colon, </w:t>
      </w:r>
      <w:r w:rsidR="008F357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spastic colon, </w:t>
      </w:r>
      <w:r w:rsidR="0063092D" w:rsidRPr="0063092D">
        <w:rPr>
          <w:rFonts w:ascii="Futura" w:eastAsia="Calibri" w:hAnsi="Futura" w:cs="Calibri"/>
          <w:color w:val="000000"/>
          <w:sz w:val="20"/>
          <w:szCs w:val="20"/>
          <w:lang w:bidi="en-US"/>
        </w:rPr>
        <w:t>or biliary dyskinesia</w:t>
      </w:r>
    </w:p>
    <w:p w14:paraId="36914801" w14:textId="77777777" w:rsidR="0063092D" w:rsidRPr="0063092D" w:rsidRDefault="0063092D" w:rsidP="0063092D">
      <w:pPr>
        <w:numPr>
          <w:ilvl w:val="0"/>
          <w:numId w:val="44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3092D">
        <w:rPr>
          <w:rFonts w:ascii="Futura" w:eastAsia="Calibri" w:hAnsi="Futura" w:cs="Calibri"/>
          <w:color w:val="000000"/>
          <w:sz w:val="20"/>
          <w:szCs w:val="20"/>
          <w:lang w:bidi="en-US"/>
        </w:rPr>
        <w:t>Treatment of muscle tension</w:t>
      </w:r>
    </w:p>
    <w:p w14:paraId="121B4A0C" w14:textId="77777777" w:rsidR="0018204C" w:rsidRDefault="0018204C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15BDFBEC" w14:textId="77777777" w:rsidR="00255C58" w:rsidRDefault="00255C58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Preferencing:</w:t>
      </w:r>
    </w:p>
    <w:p w14:paraId="366D9618" w14:textId="66118BF1" w:rsidR="00255C58" w:rsidRPr="00CD2097" w:rsidRDefault="00255C58" w:rsidP="00320403">
      <w:pPr>
        <w:spacing w:after="0" w:line="240" w:lineRule="auto"/>
        <w:rPr>
          <w:rFonts w:ascii="Futura" w:hAnsi="Futura"/>
          <w:sz w:val="24"/>
          <w:szCs w:val="24"/>
        </w:rPr>
      </w:pPr>
      <w:r w:rsidRPr="00CD2097">
        <w:rPr>
          <w:rFonts w:ascii="Futura" w:hAnsi="Futura"/>
          <w:b/>
          <w:bCs/>
          <w:sz w:val="24"/>
          <w:szCs w:val="24"/>
        </w:rPr>
        <w:t>Preferred Agents:</w:t>
      </w:r>
      <w:r w:rsidR="00CD2097">
        <w:rPr>
          <w:rFonts w:ascii="Futura" w:hAnsi="Futura"/>
          <w:b/>
          <w:bCs/>
          <w:sz w:val="24"/>
          <w:szCs w:val="24"/>
        </w:rPr>
        <w:t xml:space="preserve"> Dysport, Xeomin</w:t>
      </w:r>
    </w:p>
    <w:p w14:paraId="6E9CE643" w14:textId="02A063EF" w:rsidR="0090595D" w:rsidRPr="00CD2097" w:rsidRDefault="0090595D" w:rsidP="00320403">
      <w:pPr>
        <w:spacing w:after="0" w:line="240" w:lineRule="auto"/>
        <w:rPr>
          <w:rFonts w:ascii="Futura" w:hAnsi="Futura"/>
          <w:sz w:val="24"/>
          <w:szCs w:val="24"/>
        </w:rPr>
      </w:pPr>
      <w:r w:rsidRPr="00CD2097">
        <w:rPr>
          <w:rFonts w:ascii="Futura" w:hAnsi="Futura"/>
          <w:b/>
          <w:bCs/>
          <w:sz w:val="24"/>
          <w:szCs w:val="24"/>
        </w:rPr>
        <w:t>Secondary Agents:</w:t>
      </w:r>
      <w:r w:rsidR="00CD2097">
        <w:rPr>
          <w:rFonts w:ascii="Futura" w:hAnsi="Futura"/>
          <w:b/>
          <w:bCs/>
          <w:sz w:val="24"/>
          <w:szCs w:val="24"/>
        </w:rPr>
        <w:t xml:space="preserve"> Botox, Myobloc</w:t>
      </w:r>
      <w:r w:rsidR="002B0D0F">
        <w:rPr>
          <w:rFonts w:ascii="Futura" w:hAnsi="Futura"/>
          <w:b/>
          <w:bCs/>
          <w:sz w:val="24"/>
          <w:szCs w:val="24"/>
        </w:rPr>
        <w:t>, Daxxify</w:t>
      </w:r>
    </w:p>
    <w:p w14:paraId="6CA5A894" w14:textId="77777777" w:rsidR="00255C58" w:rsidRDefault="00255C58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p w14:paraId="25E29391" w14:textId="2523E219" w:rsidR="00320403" w:rsidRDefault="00B15619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Agents</w:t>
      </w:r>
      <w:r w:rsidR="00320403">
        <w:rPr>
          <w:rFonts w:ascii="Futura" w:hAnsi="Futura"/>
          <w:b/>
          <w:bCs/>
          <w:color w:val="00AEDB"/>
          <w:sz w:val="24"/>
          <w:szCs w:val="24"/>
        </w:rPr>
        <w:t>:</w:t>
      </w:r>
    </w:p>
    <w:p w14:paraId="2A83435E" w14:textId="77777777" w:rsidR="005027EC" w:rsidRDefault="005027EC" w:rsidP="003E1B92">
      <w:pPr>
        <w:spacing w:after="0" w:line="240" w:lineRule="auto"/>
        <w:jc w:val="both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</w:p>
    <w:p w14:paraId="3F8ED781" w14:textId="56197AA7" w:rsidR="003E1B92" w:rsidRDefault="003E1B92" w:rsidP="003E1B92">
      <w:pPr>
        <w:spacing w:after="0" w:line="240" w:lineRule="auto"/>
        <w:jc w:val="both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 w:rsidRPr="003E1B92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CPT®: 43201, 43236, 46505, 52287, 64611, 64612, 64615, 64616, 64617, 64642, 64643, 64644, 64645, 64646, 64647</w:t>
      </w:r>
    </w:p>
    <w:p w14:paraId="1171CEDC" w14:textId="77777777" w:rsidR="005027EC" w:rsidRPr="003E1B92" w:rsidRDefault="005027EC" w:rsidP="003E1B92">
      <w:pPr>
        <w:spacing w:after="0" w:line="240" w:lineRule="auto"/>
        <w:jc w:val="both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</w:p>
    <w:p w14:paraId="65EE4548" w14:textId="45D5B0E9" w:rsidR="003E1B92" w:rsidRPr="003E1B92" w:rsidRDefault="003E1B92" w:rsidP="003E1B92">
      <w:pPr>
        <w:spacing w:after="0" w:line="240" w:lineRule="auto"/>
        <w:jc w:val="both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 w:rsidRPr="003E1B92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HCPCS: J0585, J0586, J0587, J0588, J0589</w:t>
      </w:r>
    </w:p>
    <w:p w14:paraId="5780A820" w14:textId="000FF7A6" w:rsidR="009815F3" w:rsidRDefault="009815F3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60B434AD" w14:textId="77777777" w:rsidR="00A510FE" w:rsidRDefault="00A510FE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1C3AA0">
        <w:rPr>
          <w:rFonts w:ascii="Futura" w:eastAsia="Calibri" w:hAnsi="Futura" w:cs="Calibri"/>
          <w:b/>
          <w:bCs/>
          <w:color w:val="000000"/>
          <w:sz w:val="24"/>
          <w:szCs w:val="24"/>
          <w:lang w:bidi="en-US"/>
        </w:rPr>
        <w:t>BOTOX</w:t>
      </w:r>
      <w:r w:rsidRPr="00A510FE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is an acetylcholine release inhibitor and a neuromuscular blocking agent indicated for: </w:t>
      </w:r>
    </w:p>
    <w:p w14:paraId="65E258D2" w14:textId="77777777" w:rsidR="00962F45" w:rsidRDefault="00962F45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247E0A24" w14:textId="77777777" w:rsidR="00A510FE" w:rsidRDefault="00A510FE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A510FE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B7"/>
      </w:r>
      <w:r w:rsidRPr="00A510FE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Treatment of overactive bladder (OAB) with symptoms of urge urinary incontinence, urgency, and frequency, in adults who have an inadequate response to or are intolerant of an anticholinergic medication </w:t>
      </w:r>
    </w:p>
    <w:p w14:paraId="47168A0C" w14:textId="77777777" w:rsidR="009C1F2E" w:rsidRDefault="00A510FE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A510FE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B7"/>
      </w:r>
      <w:r w:rsidRPr="00A510FE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Treatment of urinary incontinence due to detrusor overactivity associated with a neurologic condition [e.g., spinal cord injury (SCI), multiple sclerosis (MS)] in adults who have an inadequate response to or are intolerant of an anticholinergic medication </w:t>
      </w:r>
    </w:p>
    <w:p w14:paraId="422A1761" w14:textId="77777777" w:rsidR="009C1F2E" w:rsidRDefault="00A510FE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A510FE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B7"/>
      </w:r>
      <w:r w:rsidRPr="00A510FE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Treatment of neurogenic detrusor overactivity (NDO) in pediatric patients 5 years of age and older who have an inadequate response to or are intolerant of anticholinergic medication. </w:t>
      </w:r>
    </w:p>
    <w:p w14:paraId="6A79DBC2" w14:textId="77777777" w:rsidR="009C1F2E" w:rsidRDefault="00A510FE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A510FE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B7"/>
      </w:r>
      <w:r w:rsidRPr="00A510FE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Prophylaxis of headaches in adult patients with chronic migraine (≥15 days per month with headache lasting 4 hours a day or longer)</w:t>
      </w:r>
    </w:p>
    <w:p w14:paraId="4331BE54" w14:textId="77777777" w:rsidR="009C1F2E" w:rsidRDefault="00A510FE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A510FE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B7"/>
      </w:r>
      <w:r w:rsidRPr="00A510FE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Treatment of spasticity in patients 2 years of age and older</w:t>
      </w:r>
    </w:p>
    <w:p w14:paraId="140A6462" w14:textId="77777777" w:rsidR="009C1F2E" w:rsidRDefault="00A510FE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A510FE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B7"/>
      </w:r>
      <w:r w:rsidRPr="00A510FE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Treatment of cervical dystonia in adult patients, to reduce the severity of abnormal head position and neck pain</w:t>
      </w:r>
    </w:p>
    <w:p w14:paraId="66C01C17" w14:textId="77777777" w:rsidR="009C1F2E" w:rsidRDefault="00A510FE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A510FE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B7"/>
      </w:r>
      <w:r w:rsidRPr="00A510FE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Treatment of severe axillary hyperhidrosis that is inadequately managed by topical agents in adult patients</w:t>
      </w:r>
    </w:p>
    <w:p w14:paraId="0FFFE130" w14:textId="77777777" w:rsidR="009C1F2E" w:rsidRDefault="00A510FE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A510FE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B7"/>
      </w:r>
      <w:r w:rsidRPr="00A510FE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Treatment of blepharospasm associated with dystonia in patients 12 years of age and older</w:t>
      </w:r>
    </w:p>
    <w:p w14:paraId="001EE603" w14:textId="389B4970" w:rsidR="007C5A44" w:rsidRDefault="00A510FE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A510FE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B7"/>
      </w:r>
      <w:r w:rsidRPr="00A510FE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Treatment of strabismus in patients 12 years of age and older</w:t>
      </w:r>
    </w:p>
    <w:p w14:paraId="461FDAC8" w14:textId="77777777" w:rsidR="00FB35AF" w:rsidRDefault="00FB35AF" w:rsidP="0043033F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07DD8255" w14:textId="77777777" w:rsidR="006C791A" w:rsidRPr="006C791A" w:rsidRDefault="006C791A" w:rsidP="006C791A">
      <w:pPr>
        <w:spacing w:after="0" w:line="240" w:lineRule="auto"/>
        <w:jc w:val="both"/>
        <w:rPr>
          <w:rFonts w:ascii="Futura" w:eastAsia="Calibri" w:hAnsi="Futura" w:cs="Calibri"/>
          <w:b/>
          <w:color w:val="000000"/>
          <w:sz w:val="20"/>
          <w:szCs w:val="20"/>
          <w:lang w:bidi="en-US"/>
        </w:rPr>
      </w:pPr>
      <w:r w:rsidRPr="006C791A">
        <w:rPr>
          <w:rFonts w:ascii="Futura" w:eastAsia="Calibri" w:hAnsi="Futura" w:cs="Calibri"/>
          <w:color w:val="000000"/>
          <w:sz w:val="20"/>
          <w:szCs w:val="20"/>
          <w:u w:val="single"/>
          <w:lang w:bidi="en-US"/>
        </w:rPr>
        <w:t>Compendial Uses</w:t>
      </w:r>
      <w:r w:rsidRPr="006C791A">
        <w:rPr>
          <w:rFonts w:ascii="Futura" w:eastAsia="Calibri" w:hAnsi="Futura" w:cs="Calibri"/>
          <w:color w:val="000000"/>
          <w:sz w:val="20"/>
          <w:szCs w:val="20"/>
          <w:vertAlign w:val="superscript"/>
          <w:lang w:bidi="en-US"/>
        </w:rPr>
        <w:t xml:space="preserve"> </w:t>
      </w:r>
    </w:p>
    <w:p w14:paraId="57DDA8B5" w14:textId="77777777" w:rsidR="006C791A" w:rsidRPr="006C791A" w:rsidRDefault="006C791A" w:rsidP="006C791A">
      <w:pPr>
        <w:numPr>
          <w:ilvl w:val="0"/>
          <w:numId w:val="23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C791A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Achalasia </w:t>
      </w:r>
    </w:p>
    <w:p w14:paraId="6D9DF993" w14:textId="77777777" w:rsidR="006C791A" w:rsidRPr="006C791A" w:rsidRDefault="006C791A" w:rsidP="006C791A">
      <w:pPr>
        <w:numPr>
          <w:ilvl w:val="0"/>
          <w:numId w:val="23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C791A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Auriculotemporal syndrome  </w:t>
      </w:r>
    </w:p>
    <w:p w14:paraId="607C63BA" w14:textId="77777777" w:rsidR="006C791A" w:rsidRPr="006C791A" w:rsidRDefault="006C791A" w:rsidP="006C791A">
      <w:pPr>
        <w:numPr>
          <w:ilvl w:val="0"/>
          <w:numId w:val="23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C791A">
        <w:rPr>
          <w:rFonts w:ascii="Futura" w:eastAsia="Calibri" w:hAnsi="Futura" w:cs="Calibri"/>
          <w:color w:val="000000"/>
          <w:sz w:val="20"/>
          <w:szCs w:val="20"/>
          <w:lang w:bidi="en-US"/>
        </w:rPr>
        <w:lastRenderedPageBreak/>
        <w:t xml:space="preserve">Backache  </w:t>
      </w:r>
    </w:p>
    <w:p w14:paraId="1F0AC2FE" w14:textId="77777777" w:rsidR="006C791A" w:rsidRPr="006C791A" w:rsidRDefault="006C791A" w:rsidP="006C791A">
      <w:pPr>
        <w:numPr>
          <w:ilvl w:val="0"/>
          <w:numId w:val="23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C791A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Benign prostatic hyperplasia  </w:t>
      </w:r>
    </w:p>
    <w:p w14:paraId="7AE75DBE" w14:textId="77777777" w:rsidR="006C791A" w:rsidRPr="006C791A" w:rsidRDefault="006C791A" w:rsidP="006C791A">
      <w:pPr>
        <w:numPr>
          <w:ilvl w:val="0"/>
          <w:numId w:val="23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C791A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Cervicogenic headache  </w:t>
      </w:r>
    </w:p>
    <w:p w14:paraId="19042934" w14:textId="77777777" w:rsidR="006C791A" w:rsidRPr="006C791A" w:rsidRDefault="006C791A" w:rsidP="006C791A">
      <w:pPr>
        <w:numPr>
          <w:ilvl w:val="0"/>
          <w:numId w:val="23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C791A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Chronic anal fissures </w:t>
      </w:r>
    </w:p>
    <w:p w14:paraId="4FAD6803" w14:textId="77777777" w:rsidR="006C791A" w:rsidRPr="006C791A" w:rsidRDefault="006C791A" w:rsidP="006C791A">
      <w:pPr>
        <w:numPr>
          <w:ilvl w:val="0"/>
          <w:numId w:val="23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C791A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Congenital esotropia </w:t>
      </w:r>
    </w:p>
    <w:p w14:paraId="4A7C16CD" w14:textId="77777777" w:rsidR="006C791A" w:rsidRPr="006C791A" w:rsidRDefault="006C791A" w:rsidP="006C791A">
      <w:pPr>
        <w:numPr>
          <w:ilvl w:val="0"/>
          <w:numId w:val="23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C791A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Detrusor and sphincter dyssynergia </w:t>
      </w:r>
    </w:p>
    <w:p w14:paraId="15839CE7" w14:textId="77777777" w:rsidR="006C791A" w:rsidRPr="006C791A" w:rsidRDefault="006C791A" w:rsidP="006C791A">
      <w:pPr>
        <w:numPr>
          <w:ilvl w:val="0"/>
          <w:numId w:val="23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C791A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Difficulty speaking after total laryngectomy  </w:t>
      </w:r>
    </w:p>
    <w:p w14:paraId="75270901" w14:textId="77777777" w:rsidR="006C791A" w:rsidRPr="006C791A" w:rsidRDefault="006C791A" w:rsidP="006C791A">
      <w:pPr>
        <w:numPr>
          <w:ilvl w:val="0"/>
          <w:numId w:val="23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C791A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Disorder of esophagus </w:t>
      </w:r>
    </w:p>
    <w:p w14:paraId="75916951" w14:textId="77777777" w:rsidR="006C791A" w:rsidRPr="006C791A" w:rsidRDefault="006C791A" w:rsidP="006C791A">
      <w:pPr>
        <w:numPr>
          <w:ilvl w:val="0"/>
          <w:numId w:val="23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C791A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Epicondylitis </w:t>
      </w:r>
    </w:p>
    <w:p w14:paraId="66822F4D" w14:textId="77777777" w:rsidR="006C791A" w:rsidRPr="006C791A" w:rsidRDefault="006C791A" w:rsidP="006C791A">
      <w:pPr>
        <w:numPr>
          <w:ilvl w:val="0"/>
          <w:numId w:val="23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C791A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Essential tremor disorder </w:t>
      </w:r>
    </w:p>
    <w:p w14:paraId="2B5D85F3" w14:textId="77777777" w:rsidR="006C791A" w:rsidRPr="006C791A" w:rsidRDefault="006C791A" w:rsidP="006C791A">
      <w:pPr>
        <w:numPr>
          <w:ilvl w:val="0"/>
          <w:numId w:val="23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C791A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Excessive salivation secondary to advanced Parkinson’s disease </w:t>
      </w:r>
    </w:p>
    <w:p w14:paraId="3DE8811C" w14:textId="77777777" w:rsidR="006C791A" w:rsidRPr="006C791A" w:rsidRDefault="006C791A" w:rsidP="006C791A">
      <w:pPr>
        <w:numPr>
          <w:ilvl w:val="0"/>
          <w:numId w:val="23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C791A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Excessive salivation secondary to a disorder of the nervous system </w:t>
      </w:r>
    </w:p>
    <w:p w14:paraId="1BADF41A" w14:textId="77777777" w:rsidR="006C791A" w:rsidRPr="006C791A" w:rsidRDefault="006C791A" w:rsidP="006C791A">
      <w:pPr>
        <w:numPr>
          <w:ilvl w:val="0"/>
          <w:numId w:val="23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C791A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Excessive tear production </w:t>
      </w:r>
    </w:p>
    <w:p w14:paraId="7B7A569E" w14:textId="77777777" w:rsidR="006C791A" w:rsidRPr="006C791A" w:rsidRDefault="006C791A" w:rsidP="006C791A">
      <w:pPr>
        <w:numPr>
          <w:ilvl w:val="0"/>
          <w:numId w:val="23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C791A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Fibromyalgia </w:t>
      </w:r>
    </w:p>
    <w:p w14:paraId="1F59EF0D" w14:textId="77777777" w:rsidR="006C791A" w:rsidRPr="006C791A" w:rsidRDefault="006C791A" w:rsidP="006C791A">
      <w:pPr>
        <w:numPr>
          <w:ilvl w:val="0"/>
          <w:numId w:val="23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C791A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Gilles de la Tourette's syndrome </w:t>
      </w:r>
    </w:p>
    <w:p w14:paraId="630A0EC2" w14:textId="77777777" w:rsidR="00CC2B10" w:rsidRDefault="006C791A" w:rsidP="006C791A">
      <w:pPr>
        <w:numPr>
          <w:ilvl w:val="0"/>
          <w:numId w:val="23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C791A">
        <w:rPr>
          <w:rFonts w:ascii="Futura" w:eastAsia="Calibri" w:hAnsi="Futura" w:cs="Calibri"/>
          <w:color w:val="000000"/>
          <w:sz w:val="20"/>
          <w:szCs w:val="20"/>
          <w:lang w:bidi="en-US"/>
        </w:rPr>
        <w:t>Granuloma of vocal cords which is refractory to conventional surgical and</w:t>
      </w:r>
      <w:r w:rsidR="00CC2B10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</w:t>
      </w:r>
    </w:p>
    <w:p w14:paraId="58347EBE" w14:textId="5C1D170C" w:rsidR="006C791A" w:rsidRPr="006C791A" w:rsidRDefault="006C791A" w:rsidP="00CC2B10">
      <w:pPr>
        <w:spacing w:after="0" w:line="240" w:lineRule="auto"/>
        <w:ind w:left="1800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C791A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medical therapies s. Hemifacial spasm </w:t>
      </w:r>
    </w:p>
    <w:p w14:paraId="70EF21A0" w14:textId="77777777" w:rsidR="006C791A" w:rsidRPr="006C791A" w:rsidRDefault="006C791A" w:rsidP="00DC0CA8">
      <w:pPr>
        <w:numPr>
          <w:ilvl w:val="0"/>
          <w:numId w:val="23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C791A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Isolated oromandibular dystonia </w:t>
      </w:r>
    </w:p>
    <w:p w14:paraId="20E9F8D4" w14:textId="77777777" w:rsidR="006C791A" w:rsidRPr="006C791A" w:rsidRDefault="006C791A" w:rsidP="00DC0CA8">
      <w:pPr>
        <w:numPr>
          <w:ilvl w:val="0"/>
          <w:numId w:val="23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C791A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Larynx closure as adjunct to surgical procedure  </w:t>
      </w:r>
    </w:p>
    <w:p w14:paraId="4AFBA0AD" w14:textId="77777777" w:rsidR="006C791A" w:rsidRPr="006C791A" w:rsidRDefault="006C791A" w:rsidP="00DC0CA8">
      <w:pPr>
        <w:numPr>
          <w:ilvl w:val="0"/>
          <w:numId w:val="23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C791A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Myofascial pain syndrome </w:t>
      </w:r>
    </w:p>
    <w:p w14:paraId="324FE783" w14:textId="77777777" w:rsidR="006C791A" w:rsidRPr="006C791A" w:rsidRDefault="006C791A" w:rsidP="00DC0CA8">
      <w:pPr>
        <w:numPr>
          <w:ilvl w:val="0"/>
          <w:numId w:val="23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C791A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Oculomotor nerve injury </w:t>
      </w:r>
    </w:p>
    <w:p w14:paraId="3E715E30" w14:textId="77777777" w:rsidR="006C791A" w:rsidRPr="006C791A" w:rsidRDefault="006C791A" w:rsidP="00DC0CA8">
      <w:pPr>
        <w:numPr>
          <w:ilvl w:val="0"/>
          <w:numId w:val="23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C791A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Organic voice tremor </w:t>
      </w:r>
    </w:p>
    <w:p w14:paraId="1E3729DC" w14:textId="77777777" w:rsidR="006C791A" w:rsidRPr="006C791A" w:rsidRDefault="006C791A" w:rsidP="00DC0CA8">
      <w:pPr>
        <w:numPr>
          <w:ilvl w:val="0"/>
          <w:numId w:val="23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C791A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Palmar hyperhidrosis </w:t>
      </w:r>
    </w:p>
    <w:p w14:paraId="0CC1A096" w14:textId="77777777" w:rsidR="00DB4210" w:rsidRDefault="006C791A" w:rsidP="00DC0CA8">
      <w:pPr>
        <w:numPr>
          <w:ilvl w:val="0"/>
          <w:numId w:val="23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C791A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Pelvic floor dyssynergia </w:t>
      </w:r>
    </w:p>
    <w:p w14:paraId="454DAF45" w14:textId="59B0AC9D" w:rsidR="006C791A" w:rsidRPr="006C791A" w:rsidRDefault="006C791A" w:rsidP="00DC0CA8">
      <w:pPr>
        <w:numPr>
          <w:ilvl w:val="0"/>
          <w:numId w:val="23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C791A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Pharyngoesophageal segment spasm following total laryngectomy </w:t>
      </w:r>
    </w:p>
    <w:p w14:paraId="5049B572" w14:textId="77777777" w:rsidR="006C791A" w:rsidRPr="006C791A" w:rsidRDefault="006C791A" w:rsidP="00DC0CA8">
      <w:pPr>
        <w:numPr>
          <w:ilvl w:val="0"/>
          <w:numId w:val="23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C791A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Refractory idiopathic trigeminal neuralgia  </w:t>
      </w:r>
    </w:p>
    <w:p w14:paraId="63B8E0C0" w14:textId="77777777" w:rsidR="006C791A" w:rsidRDefault="006C791A" w:rsidP="00DC0CA8">
      <w:pPr>
        <w:numPr>
          <w:ilvl w:val="0"/>
          <w:numId w:val="23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C791A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Spastic dysphonia </w:t>
      </w:r>
    </w:p>
    <w:p w14:paraId="15ADF89E" w14:textId="5E191A93" w:rsidR="006C791A" w:rsidRDefault="006C791A" w:rsidP="00DC0CA8">
      <w:pPr>
        <w:numPr>
          <w:ilvl w:val="0"/>
          <w:numId w:val="23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C791A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Stuttering   </w:t>
      </w:r>
    </w:p>
    <w:p w14:paraId="525C6402" w14:textId="7F760E51" w:rsidR="006C791A" w:rsidRDefault="006C791A" w:rsidP="00DC0CA8">
      <w:pPr>
        <w:numPr>
          <w:ilvl w:val="0"/>
          <w:numId w:val="23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C791A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Tardive dyskinesia </w:t>
      </w:r>
    </w:p>
    <w:p w14:paraId="71CAF1CA" w14:textId="77777777" w:rsidR="00DB4210" w:rsidRDefault="006C791A" w:rsidP="00DC0CA8">
      <w:pPr>
        <w:numPr>
          <w:ilvl w:val="0"/>
          <w:numId w:val="23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C791A">
        <w:rPr>
          <w:rFonts w:ascii="Futura" w:eastAsia="Calibri" w:hAnsi="Futura" w:cs="Calibri"/>
          <w:color w:val="000000"/>
          <w:sz w:val="20"/>
          <w:szCs w:val="20"/>
          <w:lang w:bidi="en-US"/>
        </w:rPr>
        <w:t>Temporomandibular joint disorde</w:t>
      </w:r>
      <w:r w:rsidR="00DB4210">
        <w:rPr>
          <w:rFonts w:ascii="Futura" w:eastAsia="Calibri" w:hAnsi="Futura" w:cs="Calibri"/>
          <w:color w:val="000000"/>
          <w:sz w:val="20"/>
          <w:szCs w:val="20"/>
          <w:lang w:bidi="en-US"/>
        </w:rPr>
        <w:t>r</w:t>
      </w:r>
    </w:p>
    <w:p w14:paraId="3D7ECE8B" w14:textId="5567F5CF" w:rsidR="00DB4210" w:rsidRDefault="006C791A" w:rsidP="00DC0CA8">
      <w:pPr>
        <w:numPr>
          <w:ilvl w:val="0"/>
          <w:numId w:val="23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C791A">
        <w:rPr>
          <w:rFonts w:ascii="Futura" w:eastAsia="Calibri" w:hAnsi="Futura" w:cs="Calibri"/>
          <w:color w:val="000000"/>
          <w:sz w:val="20"/>
          <w:szCs w:val="20"/>
          <w:lang w:bidi="en-US"/>
        </w:rPr>
        <w:t>Tension-type headache</w:t>
      </w:r>
    </w:p>
    <w:p w14:paraId="2E686734" w14:textId="77777777" w:rsidR="00DB4210" w:rsidRDefault="006C791A" w:rsidP="00DC0CA8">
      <w:pPr>
        <w:numPr>
          <w:ilvl w:val="0"/>
          <w:numId w:val="23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C791A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Thoracic outlet syndrome </w:t>
      </w:r>
    </w:p>
    <w:p w14:paraId="645AD7FF" w14:textId="69CDB0C5" w:rsidR="006C791A" w:rsidRPr="006C791A" w:rsidRDefault="006C791A" w:rsidP="00DC0CA8">
      <w:pPr>
        <w:numPr>
          <w:ilvl w:val="0"/>
          <w:numId w:val="23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C791A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Whiplash injury to neck </w:t>
      </w:r>
    </w:p>
    <w:p w14:paraId="28DF669C" w14:textId="77777777" w:rsidR="00C82C80" w:rsidRDefault="00C82C80" w:rsidP="0043033F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75B4D11D" w14:textId="77777777" w:rsidR="00C82C80" w:rsidRDefault="00C82C80" w:rsidP="0043033F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397AAEBF" w14:textId="77777777" w:rsidR="00BC07B2" w:rsidRDefault="00BC07B2" w:rsidP="0043033F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0DE82CA6" w14:textId="1D703BDA" w:rsidR="00FB35AF" w:rsidRDefault="00FB35AF" w:rsidP="0043033F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>Limitations of use:</w:t>
      </w:r>
    </w:p>
    <w:p w14:paraId="4E29B200" w14:textId="77777777" w:rsidR="00B15619" w:rsidRDefault="00B15619" w:rsidP="0043033F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3EFD4E1B" w14:textId="77777777" w:rsidR="00006F2B" w:rsidRDefault="00FB35AF" w:rsidP="0043033F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FB35AF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Safety and effectiveness of BOTOX have not been established for: </w:t>
      </w:r>
    </w:p>
    <w:p w14:paraId="3A80426F" w14:textId="77777777" w:rsidR="00006F2B" w:rsidRDefault="00FB35AF" w:rsidP="0043033F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FB35AF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B7"/>
      </w:r>
      <w:r w:rsidRPr="00FB35AF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Prophylaxis of episodic migraine (14 headache days or fewer per month) </w:t>
      </w:r>
    </w:p>
    <w:p w14:paraId="5FAC41FC" w14:textId="4636AC64" w:rsidR="005A5076" w:rsidRDefault="00FB35AF" w:rsidP="0043033F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FB35AF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B7"/>
      </w:r>
      <w:r w:rsidRPr="00FB35AF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Treatment of hyperhidrosis in body areas other than axillary</w:t>
      </w:r>
    </w:p>
    <w:p w14:paraId="17C6583E" w14:textId="77777777" w:rsidR="00CD64B2" w:rsidRDefault="00CD64B2" w:rsidP="0043033F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6FAD6613" w14:textId="77777777" w:rsidR="00CD64B2" w:rsidRDefault="00CD64B2" w:rsidP="0043033F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CD64B2">
        <w:rPr>
          <w:rFonts w:ascii="Futura" w:eastAsia="Calibri" w:hAnsi="Futura" w:cs="Calibri"/>
          <w:color w:val="000000"/>
          <w:sz w:val="20"/>
          <w:szCs w:val="20"/>
          <w:lang w:bidi="en-US"/>
        </w:rPr>
        <w:t>DOSAGE AND ADMINISTRATION</w:t>
      </w: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>:</w:t>
      </w:r>
    </w:p>
    <w:p w14:paraId="160AB009" w14:textId="56F79B86" w:rsidR="00A8078C" w:rsidRDefault="00CD64B2" w:rsidP="0043033F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CD64B2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B7"/>
      </w:r>
      <w:r w:rsidRPr="00CD64B2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Follow indication-specific dosage and administration recommendations. In a </w:t>
      </w:r>
      <w:r w:rsidR="00DC0CA8" w:rsidRPr="00CD64B2">
        <w:rPr>
          <w:rFonts w:ascii="Futura" w:eastAsia="Calibri" w:hAnsi="Futura" w:cs="Calibri"/>
          <w:color w:val="000000"/>
          <w:sz w:val="20"/>
          <w:szCs w:val="20"/>
          <w:lang w:bidi="en-US"/>
        </w:rPr>
        <w:t>3-month</w:t>
      </w:r>
      <w:r w:rsidRPr="00CD64B2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interval, do not exceed a total dose of: </w:t>
      </w:r>
      <w:r w:rsidRPr="00CD64B2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B7"/>
      </w:r>
      <w:r w:rsidRPr="00CD64B2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Adults: 400 Units </w:t>
      </w:r>
      <w:r w:rsidRPr="00CD64B2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B7"/>
      </w:r>
      <w:r w:rsidRPr="00CD64B2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Pediatrics: the lesser of 10 Units/kg or 340 Units </w:t>
      </w:r>
    </w:p>
    <w:p w14:paraId="6D1D1546" w14:textId="77777777" w:rsidR="00A8078C" w:rsidRDefault="00CD64B2" w:rsidP="0043033F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CD64B2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B7"/>
      </w:r>
      <w:r w:rsidRPr="00CD64B2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Overactive Bladder: Recommended total dose 100 Units, as 0.5 mL (5 Units) injections across 20 sites into the detrusor </w:t>
      </w:r>
    </w:p>
    <w:p w14:paraId="7FC61F1D" w14:textId="20B71FCB" w:rsidR="00A653B4" w:rsidRDefault="00CD64B2" w:rsidP="00A653B4">
      <w:pPr>
        <w:spacing w:after="0" w:line="240" w:lineRule="auto"/>
        <w:ind w:firstLine="720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CD64B2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B7"/>
      </w:r>
      <w:r w:rsidRPr="00CD64B2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Adult Detrusor Overactivity associated with a Neurologic Condition: Recommended total dose 200 Units, as 1 mL (~6.7 Units) injections across 30 sites into the detrusor </w:t>
      </w:r>
    </w:p>
    <w:p w14:paraId="253BE7DE" w14:textId="77777777" w:rsidR="00A653B4" w:rsidRDefault="00CD64B2" w:rsidP="00A653B4">
      <w:pPr>
        <w:spacing w:after="0" w:line="240" w:lineRule="auto"/>
        <w:ind w:firstLine="720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CD64B2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B7"/>
      </w:r>
      <w:r w:rsidRPr="00CD64B2">
        <w:rPr>
          <w:rFonts w:ascii="Futura" w:eastAsia="Calibri" w:hAnsi="Futura" w:cs="Calibri"/>
          <w:color w:val="000000"/>
          <w:sz w:val="20"/>
          <w:szCs w:val="20"/>
          <w:lang w:bidi="en-US"/>
        </w:rPr>
        <w:t>Pediatric Detrusor Overactivity associated with a Neurologic Condition: 0.5 mL injections across 20 sites into the detrusor</w:t>
      </w:r>
    </w:p>
    <w:p w14:paraId="42C80ED5" w14:textId="77777777" w:rsidR="00D319BA" w:rsidRDefault="00CD64B2" w:rsidP="00D319BA">
      <w:pPr>
        <w:spacing w:after="0" w:line="240" w:lineRule="auto"/>
        <w:ind w:left="720" w:firstLine="720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CD64B2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B7"/>
      </w:r>
      <w:r w:rsidRPr="00CD64B2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Greater than or equal to 34 kg: Recommended total dose is 200 Units </w:t>
      </w:r>
    </w:p>
    <w:p w14:paraId="2FE668B6" w14:textId="77777777" w:rsidR="00D319BA" w:rsidRDefault="00CD64B2" w:rsidP="00D319BA">
      <w:pPr>
        <w:spacing w:after="0" w:line="240" w:lineRule="auto"/>
        <w:ind w:left="720" w:firstLine="720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CD64B2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B7"/>
      </w:r>
      <w:r w:rsidRPr="00CD64B2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Less than 34 kg: Recommended total dose is 6 Units/kg </w:t>
      </w:r>
    </w:p>
    <w:p w14:paraId="2ABA660D" w14:textId="13CD0E4B" w:rsidR="00D319BA" w:rsidRDefault="00CD64B2" w:rsidP="00D319BA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CD64B2">
        <w:rPr>
          <w:rFonts w:ascii="Futura" w:eastAsia="Calibri" w:hAnsi="Futura" w:cs="Calibri"/>
          <w:color w:val="000000"/>
          <w:sz w:val="20"/>
          <w:szCs w:val="20"/>
          <w:lang w:bidi="en-US"/>
        </w:rPr>
        <w:lastRenderedPageBreak/>
        <w:sym w:font="Symbol" w:char="F0B7"/>
      </w:r>
      <w:r w:rsidRPr="00CD64B2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Chronic Migraine: Recommended total dose 155 Units, as 0.1 mL (5 Units) injections per </w:t>
      </w:r>
      <w:r w:rsidR="00DC0CA8" w:rsidRPr="00CD64B2">
        <w:rPr>
          <w:rFonts w:ascii="Futura" w:eastAsia="Calibri" w:hAnsi="Futura" w:cs="Calibri"/>
          <w:color w:val="000000"/>
          <w:sz w:val="20"/>
          <w:szCs w:val="20"/>
          <w:lang w:bidi="en-US"/>
        </w:rPr>
        <w:t>site</w:t>
      </w:r>
      <w:r w:rsidRPr="00CD64B2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divided across 7 head/neck muscles</w:t>
      </w:r>
    </w:p>
    <w:p w14:paraId="4B599340" w14:textId="77777777" w:rsidR="00D35663" w:rsidRDefault="00CD64B2" w:rsidP="00D319BA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CD64B2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B7"/>
      </w:r>
      <w:r w:rsidRPr="00CD64B2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Adult Upper Limb Spasticity: Recommended total dose up to 400 Units divided among affected muscles</w:t>
      </w:r>
    </w:p>
    <w:p w14:paraId="1A3CFE63" w14:textId="77777777" w:rsidR="00D35663" w:rsidRDefault="00CD64B2" w:rsidP="00D319BA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CD64B2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B7"/>
      </w:r>
      <w:r w:rsidRPr="00CD64B2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Adult Lower Limb Spasticity: Recommended total dose 300 Units to 400 Units divided across ankle and toe muscles</w:t>
      </w:r>
    </w:p>
    <w:p w14:paraId="4B22DFA1" w14:textId="77777777" w:rsidR="00D35663" w:rsidRDefault="00CD64B2" w:rsidP="00D319BA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CD64B2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B7"/>
      </w:r>
      <w:r w:rsidRPr="00CD64B2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Pediatric Upper Limb Spasticity: Recommended total dose 3 Units/kg to 6 Units/kg (maximum 200 Units) divided among affected muscles</w:t>
      </w:r>
    </w:p>
    <w:p w14:paraId="4D7569A3" w14:textId="77777777" w:rsidR="00D35663" w:rsidRDefault="00CD64B2" w:rsidP="00D319BA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CD64B2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B7"/>
      </w:r>
      <w:r w:rsidRPr="00CD64B2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Pediatric Lower Limb Spasticity: Recommended total dose 4 Units/kg to 8 Units/kg (maximum 300 Units) divided among affected muscles</w:t>
      </w:r>
    </w:p>
    <w:p w14:paraId="231840DE" w14:textId="77777777" w:rsidR="009F7E38" w:rsidRDefault="00CD64B2" w:rsidP="00D319BA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CD64B2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B7"/>
      </w:r>
      <w:r w:rsidRPr="00CD64B2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Cervical Dystonia: Base dosing on the patient’s head and neck position, localization of pain, muscle hypertrophy, patient response, and adverse event history; use lower initial dose in botulinum toxin naïve patients</w:t>
      </w:r>
    </w:p>
    <w:p w14:paraId="3DAAF60B" w14:textId="77777777" w:rsidR="009F7E38" w:rsidRDefault="00CD64B2" w:rsidP="00D319BA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CD64B2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B7"/>
      </w:r>
      <w:r w:rsidRPr="00CD64B2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Axillary Hyperhidrosis: 50 Units per axilla</w:t>
      </w:r>
    </w:p>
    <w:p w14:paraId="31BF4155" w14:textId="77777777" w:rsidR="009F7E38" w:rsidRDefault="00CD64B2" w:rsidP="00D319BA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CD64B2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B7"/>
      </w:r>
      <w:r w:rsidRPr="00CD64B2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Blepharospasm: 1.25 Units-2.5 Units into each of 3 sites per affected eye</w:t>
      </w:r>
    </w:p>
    <w:p w14:paraId="7B76415F" w14:textId="6F9E94CC" w:rsidR="00CD64B2" w:rsidRPr="0043033F" w:rsidRDefault="00CD64B2" w:rsidP="00D319BA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CD64B2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B7"/>
      </w:r>
      <w:r w:rsidRPr="00CD64B2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Strabismus: The dose is based on prism diopter correction or previous response to treatment with BOTOX</w:t>
      </w:r>
    </w:p>
    <w:p w14:paraId="49431D93" w14:textId="77777777" w:rsidR="00320403" w:rsidRDefault="00320403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p w14:paraId="13A9F8E8" w14:textId="77777777" w:rsidR="00832A58" w:rsidRDefault="00474DCE" w:rsidP="00474DCE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832A58">
        <w:rPr>
          <w:rFonts w:ascii="Futura" w:eastAsia="Calibri" w:hAnsi="Futura" w:cs="Calibri"/>
          <w:b/>
          <w:bCs/>
          <w:color w:val="000000"/>
          <w:sz w:val="24"/>
          <w:szCs w:val="24"/>
          <w:lang w:bidi="en-US"/>
        </w:rPr>
        <w:t>DYSPORT</w:t>
      </w:r>
      <w:r w:rsidRPr="00474DCE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is an acetylcholine release inhibitor and a neuromuscular blocking agent indicated for: </w:t>
      </w:r>
    </w:p>
    <w:p w14:paraId="0BA59937" w14:textId="49751B92" w:rsidR="00474DCE" w:rsidRDefault="00474DCE" w:rsidP="00474DCE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74DCE">
        <w:rPr>
          <w:rFonts w:ascii="Futura" w:eastAsia="Calibri" w:hAnsi="Futura" w:cs="Calibri"/>
          <w:color w:val="000000"/>
          <w:sz w:val="20"/>
          <w:szCs w:val="20"/>
          <w:lang w:bidi="en-US"/>
        </w:rPr>
        <w:t>•The treatment of cervical dystonia in adults</w:t>
      </w:r>
    </w:p>
    <w:p w14:paraId="72BD9674" w14:textId="2CAF8635" w:rsidR="001C3AA0" w:rsidRPr="00474DCE" w:rsidRDefault="00474DCE" w:rsidP="00474DCE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74DCE">
        <w:rPr>
          <w:rFonts w:ascii="Futura" w:eastAsia="Calibri" w:hAnsi="Futura" w:cs="Calibri"/>
          <w:color w:val="000000"/>
          <w:sz w:val="20"/>
          <w:szCs w:val="20"/>
          <w:lang w:bidi="en-US"/>
        </w:rPr>
        <w:t>•The treatment of spasticity in patients 2 years of age and older</w:t>
      </w:r>
    </w:p>
    <w:p w14:paraId="57ABD073" w14:textId="77777777" w:rsidR="00474DCE" w:rsidRDefault="00474DCE" w:rsidP="00320403">
      <w:pPr>
        <w:spacing w:after="0" w:line="240" w:lineRule="auto"/>
      </w:pPr>
    </w:p>
    <w:p w14:paraId="57CB58DD" w14:textId="77777777" w:rsidR="008F1491" w:rsidRPr="008F1491" w:rsidRDefault="008F1491" w:rsidP="008F1491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8F1491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Compendial Uses </w:t>
      </w:r>
    </w:p>
    <w:p w14:paraId="2F1D0628" w14:textId="77777777" w:rsidR="008F1491" w:rsidRPr="008F1491" w:rsidRDefault="008F1491" w:rsidP="008F1491">
      <w:pPr>
        <w:numPr>
          <w:ilvl w:val="0"/>
          <w:numId w:val="26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8F1491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Achalasia in patients who are surgical candidates </w:t>
      </w:r>
    </w:p>
    <w:p w14:paraId="0781E747" w14:textId="77777777" w:rsidR="008F1491" w:rsidRPr="008F1491" w:rsidRDefault="008F1491" w:rsidP="008F1491">
      <w:pPr>
        <w:numPr>
          <w:ilvl w:val="0"/>
          <w:numId w:val="26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8F1491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Blepharospasm </w:t>
      </w:r>
    </w:p>
    <w:p w14:paraId="1D9251DB" w14:textId="77777777" w:rsidR="008F1491" w:rsidRPr="008F1491" w:rsidRDefault="008F1491" w:rsidP="008F1491">
      <w:pPr>
        <w:numPr>
          <w:ilvl w:val="0"/>
          <w:numId w:val="26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8F1491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Hemifacial spasm </w:t>
      </w:r>
    </w:p>
    <w:p w14:paraId="4D9D4DEE" w14:textId="77777777" w:rsidR="00474DCE" w:rsidRDefault="00474DCE" w:rsidP="00320403">
      <w:pPr>
        <w:spacing w:after="0" w:line="240" w:lineRule="auto"/>
      </w:pPr>
    </w:p>
    <w:p w14:paraId="2C90F226" w14:textId="77777777" w:rsidR="00596AA0" w:rsidRDefault="00596AA0" w:rsidP="00596AA0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CD64B2">
        <w:rPr>
          <w:rFonts w:ascii="Futura" w:eastAsia="Calibri" w:hAnsi="Futura" w:cs="Calibri"/>
          <w:color w:val="000000"/>
          <w:sz w:val="20"/>
          <w:szCs w:val="20"/>
          <w:lang w:bidi="en-US"/>
        </w:rPr>
        <w:t>DOSAGE AND ADMINISTRATION</w:t>
      </w: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>:</w:t>
      </w:r>
    </w:p>
    <w:p w14:paraId="5E9B3B10" w14:textId="77777777" w:rsidR="00BD3E6B" w:rsidRPr="009F51BE" w:rsidRDefault="00F96E21" w:rsidP="00320403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t>Cervical Dystonia</w:t>
      </w:r>
      <w:r w:rsidR="00BD3E6B"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t>:</w:t>
      </w:r>
    </w:p>
    <w:p w14:paraId="1B62E3DE" w14:textId="77777777" w:rsidR="00BD3E6B" w:rsidRPr="009F51BE" w:rsidRDefault="00F96E21" w:rsidP="00320403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• Initial dose is 500 Units given intramuscularly as a divided dose among the affected muscles </w:t>
      </w:r>
    </w:p>
    <w:p w14:paraId="2E767D4A" w14:textId="77777777" w:rsidR="00BD3E6B" w:rsidRPr="009F51BE" w:rsidRDefault="00F96E21" w:rsidP="00320403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• Re-treatment every 12 to 16 weeks or longer, as necessary, based on return of clinical symptoms with doses administered between 250 Units and 1000 Units to optimize clinical benefit </w:t>
      </w:r>
    </w:p>
    <w:p w14:paraId="342E7508" w14:textId="77777777" w:rsidR="00BD3E6B" w:rsidRPr="009F51BE" w:rsidRDefault="00F96E21" w:rsidP="00320403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• Re-treatment should not occur in intervals of less than 12 weeks </w:t>
      </w:r>
    </w:p>
    <w:p w14:paraId="15B2C0E1" w14:textId="77777777" w:rsidR="00BD3E6B" w:rsidRPr="009F51BE" w:rsidRDefault="00F96E21" w:rsidP="00320403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• Titrate in 250 Unit steps according to patient’s response </w:t>
      </w:r>
    </w:p>
    <w:p w14:paraId="1FFE289E" w14:textId="77777777" w:rsidR="00AC208E" w:rsidRPr="009F51BE" w:rsidRDefault="00AC208E" w:rsidP="00320403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7958D6AF" w14:textId="77777777" w:rsidR="00AC208E" w:rsidRPr="009F51BE" w:rsidRDefault="00F96E21" w:rsidP="00320403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t>Spasticity in Adults</w:t>
      </w:r>
      <w:r w:rsidR="00AC208E"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t>:</w:t>
      </w:r>
    </w:p>
    <w:p w14:paraId="4FE692E7" w14:textId="77777777" w:rsidR="00AC208E" w:rsidRPr="009F51BE" w:rsidRDefault="00F96E21" w:rsidP="00320403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• Select dose based on muscles affected, severity of spasticity, and treatment and adverse reaction history with botulinum toxins </w:t>
      </w:r>
    </w:p>
    <w:p w14:paraId="69AB6F3E" w14:textId="77777777" w:rsidR="00AC208E" w:rsidRPr="009F51BE" w:rsidRDefault="00F96E21" w:rsidP="00320403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• Dosing for upper limb spasticity: between 500 Units and 1000 Units </w:t>
      </w:r>
    </w:p>
    <w:p w14:paraId="190D2E4A" w14:textId="77777777" w:rsidR="00AC208E" w:rsidRPr="009F51BE" w:rsidRDefault="00F96E21" w:rsidP="00320403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• Dosing for lower limb spasticity: up to 1500 Units </w:t>
      </w:r>
    </w:p>
    <w:p w14:paraId="36B8F0AD" w14:textId="77777777" w:rsidR="00AC208E" w:rsidRPr="009F51BE" w:rsidRDefault="00F96E21" w:rsidP="00320403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• The maximum recommended total dose per treatment session (upper and lower limb combined) in adults is 1500 Units </w:t>
      </w:r>
    </w:p>
    <w:p w14:paraId="489B5FE7" w14:textId="77777777" w:rsidR="00AC208E" w:rsidRPr="009F51BE" w:rsidRDefault="00F96E21" w:rsidP="00320403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• Re-treatment, based on return of clinical symptoms, should not occur in intervals of less than 12 weeks </w:t>
      </w:r>
    </w:p>
    <w:p w14:paraId="2235137E" w14:textId="77777777" w:rsidR="00AC208E" w:rsidRPr="009F51BE" w:rsidRDefault="00AC208E" w:rsidP="00320403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4149786B" w14:textId="77777777" w:rsidR="00AC208E" w:rsidRPr="009F51BE" w:rsidRDefault="00F96E21" w:rsidP="00320403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t>Spasticity in Pediatric Patients</w:t>
      </w:r>
      <w:r w:rsidR="00AC208E"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t>:</w:t>
      </w:r>
    </w:p>
    <w:p w14:paraId="47BE3B2D" w14:textId="77777777" w:rsidR="00AC208E" w:rsidRPr="009F51BE" w:rsidRDefault="00F96E21" w:rsidP="00320403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• Select dose based on the affected muscle, severity of spasticity, and treatment and adverse reaction history with all botulinum toxins. </w:t>
      </w:r>
    </w:p>
    <w:p w14:paraId="6D57EB7E" w14:textId="77777777" w:rsidR="004F0D94" w:rsidRPr="009F51BE" w:rsidRDefault="00F96E21" w:rsidP="00320403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• Recommended dosing for upper limb spasticity: 8 Units/kg to 16 Units/kg per limb. The maximum recommended total dose administered per treatment session must not exceed 16 Units/kg or 640 Units, whichever is lower. </w:t>
      </w:r>
    </w:p>
    <w:p w14:paraId="4946220C" w14:textId="77777777" w:rsidR="004F0D94" w:rsidRPr="009F51BE" w:rsidRDefault="00F96E21" w:rsidP="00320403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lastRenderedPageBreak/>
        <w:t xml:space="preserve">• Recommended dosing for lower limb spasticity: 10 Units/kg to 15 Units/kg per limb. Total dose per treatment session must not exceed 15 Units/kg for unilateral lower limb injections, 30 Units/kg for bilateral injections, or 1000 Units, whichever is lower. </w:t>
      </w:r>
    </w:p>
    <w:p w14:paraId="328E5CF5" w14:textId="60F244CC" w:rsidR="00474DCE" w:rsidRDefault="00F96E21" w:rsidP="00320403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t>• The maximum recommended total dose per treatment session is 30 Units/kg or 1000 Units, whichever is lower. Re-treatment, based on return of clinical symptoms, should not occur in intervals of less than 3 months.</w:t>
      </w:r>
    </w:p>
    <w:p w14:paraId="592186F0" w14:textId="77777777" w:rsidR="009F51BE" w:rsidRDefault="009F51BE" w:rsidP="00320403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4E2CB799" w14:textId="77777777" w:rsidR="00C11803" w:rsidRDefault="00C86425" w:rsidP="00320403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FE531B">
        <w:rPr>
          <w:rFonts w:ascii="Futura" w:eastAsia="Calibri" w:hAnsi="Futura" w:cs="Calibri"/>
          <w:b/>
          <w:bCs/>
          <w:color w:val="000000"/>
          <w:sz w:val="24"/>
          <w:szCs w:val="24"/>
          <w:lang w:bidi="en-US"/>
        </w:rPr>
        <w:t>MYOBLOC</w:t>
      </w:r>
      <w:r w:rsidRPr="00C86425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is an acetylcholine release inhibitor indicated for:</w:t>
      </w:r>
    </w:p>
    <w:p w14:paraId="41CE5285" w14:textId="77777777" w:rsidR="00C11803" w:rsidRDefault="00C86425" w:rsidP="00320403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C86425">
        <w:rPr>
          <w:rFonts w:ascii="Futura" w:eastAsia="Calibri" w:hAnsi="Futura" w:cs="Calibri"/>
          <w:color w:val="000000"/>
          <w:sz w:val="20"/>
          <w:szCs w:val="20"/>
          <w:lang w:bidi="en-US"/>
        </w:rPr>
        <w:t>• Treatment of cervical dystonia to reduce the severity of abnormal head position and neck pain associated with cervical dystonia in adults</w:t>
      </w:r>
    </w:p>
    <w:p w14:paraId="73DE755F" w14:textId="7CE3B4D7" w:rsidR="009F51BE" w:rsidRDefault="00C86425" w:rsidP="00320403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C86425">
        <w:rPr>
          <w:rFonts w:ascii="Futura" w:eastAsia="Calibri" w:hAnsi="Futura" w:cs="Calibri"/>
          <w:color w:val="000000"/>
          <w:sz w:val="20"/>
          <w:szCs w:val="20"/>
          <w:lang w:bidi="en-US"/>
        </w:rPr>
        <w:t>• Treatment of chronic sialorrhea in adults</w:t>
      </w:r>
    </w:p>
    <w:p w14:paraId="282ECCB0" w14:textId="77777777" w:rsidR="00C11803" w:rsidRDefault="00C11803" w:rsidP="00320403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1E730856" w14:textId="77777777" w:rsidR="00645EAC" w:rsidRPr="00645EAC" w:rsidRDefault="00645EAC" w:rsidP="00645EAC">
      <w:pPr>
        <w:spacing w:after="0" w:line="240" w:lineRule="auto"/>
        <w:rPr>
          <w:rFonts w:ascii="Futura" w:eastAsia="Calibri" w:hAnsi="Futura" w:cs="Calibri"/>
          <w:b/>
          <w:color w:val="000000"/>
          <w:sz w:val="20"/>
          <w:szCs w:val="20"/>
          <w:lang w:bidi="en-US"/>
        </w:rPr>
      </w:pPr>
      <w:r w:rsidRPr="00645EAC">
        <w:rPr>
          <w:rFonts w:ascii="Futura" w:eastAsia="Calibri" w:hAnsi="Futura" w:cs="Calibri"/>
          <w:color w:val="000000"/>
          <w:sz w:val="20"/>
          <w:szCs w:val="20"/>
          <w:u w:val="single"/>
          <w:lang w:bidi="en-US"/>
        </w:rPr>
        <w:t>Compendial Uses</w:t>
      </w:r>
      <w:r w:rsidRPr="00645EAC">
        <w:rPr>
          <w:rFonts w:ascii="Futura" w:eastAsia="Calibri" w:hAnsi="Futura" w:cs="Calibri"/>
          <w:color w:val="000000"/>
          <w:sz w:val="20"/>
          <w:szCs w:val="20"/>
          <w:vertAlign w:val="superscript"/>
          <w:lang w:bidi="en-US"/>
        </w:rPr>
        <w:t xml:space="preserve"> </w:t>
      </w:r>
    </w:p>
    <w:p w14:paraId="3E138F94" w14:textId="77777777" w:rsidR="00645EAC" w:rsidRPr="00645EAC" w:rsidRDefault="00645EAC" w:rsidP="00645EAC">
      <w:pPr>
        <w:numPr>
          <w:ilvl w:val="0"/>
          <w:numId w:val="29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45EAC">
        <w:rPr>
          <w:rFonts w:ascii="Futura" w:eastAsia="Calibri" w:hAnsi="Futura" w:cs="Calibri"/>
          <w:color w:val="000000"/>
          <w:sz w:val="20"/>
          <w:szCs w:val="20"/>
          <w:lang w:bidi="en-US"/>
        </w:rPr>
        <w:t>Axillary hyperhidrosis</w:t>
      </w:r>
      <w:r w:rsidRPr="00645EAC">
        <w:rPr>
          <w:rFonts w:ascii="Futura" w:eastAsia="Calibri" w:hAnsi="Futura" w:cs="Calibri"/>
          <w:b/>
          <w:color w:val="000000"/>
          <w:sz w:val="20"/>
          <w:szCs w:val="20"/>
          <w:lang w:bidi="en-US"/>
        </w:rPr>
        <w:t xml:space="preserve"> </w:t>
      </w:r>
    </w:p>
    <w:p w14:paraId="0F77ED6C" w14:textId="77777777" w:rsidR="00645EAC" w:rsidRPr="00645EAC" w:rsidRDefault="00645EAC" w:rsidP="00645EAC">
      <w:pPr>
        <w:numPr>
          <w:ilvl w:val="0"/>
          <w:numId w:val="29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45EAC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Bladder muscle dysfunction leading to overactive bladder </w:t>
      </w:r>
    </w:p>
    <w:p w14:paraId="06DBF4BF" w14:textId="77777777" w:rsidR="00645EAC" w:rsidRPr="00645EAC" w:rsidRDefault="00645EAC" w:rsidP="00645EAC">
      <w:pPr>
        <w:numPr>
          <w:ilvl w:val="0"/>
          <w:numId w:val="29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45EAC">
        <w:rPr>
          <w:rFonts w:ascii="Futura" w:eastAsia="Calibri" w:hAnsi="Futura" w:cs="Calibri"/>
          <w:color w:val="000000"/>
          <w:sz w:val="20"/>
          <w:szCs w:val="20"/>
          <w:lang w:bidi="en-US"/>
        </w:rPr>
        <w:t>Bladder spasticity secondary to a spinal cord injury</w:t>
      </w:r>
      <w:r w:rsidRPr="00645EAC">
        <w:rPr>
          <w:rFonts w:ascii="Futura" w:eastAsia="Calibri" w:hAnsi="Futura" w:cs="Calibri"/>
          <w:b/>
          <w:color w:val="000000"/>
          <w:sz w:val="20"/>
          <w:szCs w:val="20"/>
          <w:lang w:bidi="en-US"/>
        </w:rPr>
        <w:t xml:space="preserve"> </w:t>
      </w:r>
    </w:p>
    <w:p w14:paraId="3F48F2D1" w14:textId="77777777" w:rsidR="00645EAC" w:rsidRPr="00645EAC" w:rsidRDefault="00645EAC" w:rsidP="00645EAC">
      <w:pPr>
        <w:numPr>
          <w:ilvl w:val="0"/>
          <w:numId w:val="29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45EAC">
        <w:rPr>
          <w:rFonts w:ascii="Futura" w:eastAsia="Calibri" w:hAnsi="Futura" w:cs="Calibri"/>
          <w:color w:val="000000"/>
          <w:sz w:val="20"/>
          <w:szCs w:val="20"/>
          <w:lang w:bidi="en-US"/>
        </w:rPr>
        <w:t>Blepharospasm</w:t>
      </w:r>
      <w:r w:rsidRPr="00645EAC">
        <w:rPr>
          <w:rFonts w:ascii="Futura" w:eastAsia="Calibri" w:hAnsi="Futura" w:cs="Calibri"/>
          <w:b/>
          <w:color w:val="000000"/>
          <w:sz w:val="20"/>
          <w:szCs w:val="20"/>
          <w:lang w:bidi="en-US"/>
        </w:rPr>
        <w:t xml:space="preserve"> </w:t>
      </w:r>
    </w:p>
    <w:p w14:paraId="6C9814F0" w14:textId="77777777" w:rsidR="00645EAC" w:rsidRPr="00645EAC" w:rsidRDefault="00645EAC" w:rsidP="00645EAC">
      <w:pPr>
        <w:numPr>
          <w:ilvl w:val="0"/>
          <w:numId w:val="29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45EAC">
        <w:rPr>
          <w:rFonts w:ascii="Futura" w:eastAsia="Calibri" w:hAnsi="Futura" w:cs="Calibri"/>
          <w:color w:val="000000"/>
          <w:sz w:val="20"/>
          <w:szCs w:val="20"/>
          <w:lang w:bidi="en-US"/>
        </w:rPr>
        <w:t>Hemifacial spasm</w:t>
      </w:r>
      <w:r w:rsidRPr="00645EAC">
        <w:rPr>
          <w:rFonts w:ascii="Futura" w:eastAsia="Calibri" w:hAnsi="Futura" w:cs="Calibri"/>
          <w:b/>
          <w:color w:val="000000"/>
          <w:sz w:val="20"/>
          <w:szCs w:val="20"/>
          <w:lang w:bidi="en-US"/>
        </w:rPr>
        <w:t xml:space="preserve"> </w:t>
      </w:r>
    </w:p>
    <w:p w14:paraId="2168334D" w14:textId="77777777" w:rsidR="00645EAC" w:rsidRPr="00645EAC" w:rsidRDefault="00645EAC" w:rsidP="00645EAC">
      <w:pPr>
        <w:numPr>
          <w:ilvl w:val="0"/>
          <w:numId w:val="29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45EAC">
        <w:rPr>
          <w:rFonts w:ascii="Futura" w:eastAsia="Calibri" w:hAnsi="Futura" w:cs="Calibri"/>
          <w:color w:val="000000"/>
          <w:sz w:val="20"/>
          <w:szCs w:val="20"/>
          <w:lang w:bidi="en-US"/>
        </w:rPr>
        <w:t>Palmar hyperhidrosis</w:t>
      </w:r>
      <w:r w:rsidRPr="00645EAC">
        <w:rPr>
          <w:rFonts w:ascii="Futura" w:eastAsia="Calibri" w:hAnsi="Futura" w:cs="Calibri"/>
          <w:b/>
          <w:color w:val="000000"/>
          <w:sz w:val="20"/>
          <w:szCs w:val="20"/>
          <w:lang w:bidi="en-US"/>
        </w:rPr>
        <w:t xml:space="preserve"> </w:t>
      </w:r>
    </w:p>
    <w:p w14:paraId="3584CB0B" w14:textId="77777777" w:rsidR="00645EAC" w:rsidRPr="00645EAC" w:rsidRDefault="00645EAC" w:rsidP="00645EAC">
      <w:pPr>
        <w:numPr>
          <w:ilvl w:val="0"/>
          <w:numId w:val="29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45EAC">
        <w:rPr>
          <w:rFonts w:ascii="Futura" w:eastAsia="Calibri" w:hAnsi="Futura" w:cs="Calibri"/>
          <w:color w:val="000000"/>
          <w:sz w:val="20"/>
          <w:szCs w:val="20"/>
          <w:lang w:bidi="en-US"/>
        </w:rPr>
        <w:t>Spastic dysphonia</w:t>
      </w:r>
      <w:r w:rsidRPr="00645EAC">
        <w:rPr>
          <w:rFonts w:ascii="Futura" w:eastAsia="Calibri" w:hAnsi="Futura" w:cs="Calibri"/>
          <w:b/>
          <w:color w:val="000000"/>
          <w:sz w:val="20"/>
          <w:szCs w:val="20"/>
          <w:lang w:bidi="en-US"/>
        </w:rPr>
        <w:t xml:space="preserve"> </w:t>
      </w:r>
    </w:p>
    <w:p w14:paraId="426E3612" w14:textId="77777777" w:rsidR="00645EAC" w:rsidRPr="00645EAC" w:rsidRDefault="00645EAC" w:rsidP="00645EAC">
      <w:pPr>
        <w:numPr>
          <w:ilvl w:val="0"/>
          <w:numId w:val="29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45EAC">
        <w:rPr>
          <w:rFonts w:ascii="Futura" w:eastAsia="Calibri" w:hAnsi="Futura" w:cs="Calibri"/>
          <w:color w:val="000000"/>
          <w:sz w:val="20"/>
          <w:szCs w:val="20"/>
          <w:lang w:bidi="en-US"/>
        </w:rPr>
        <w:t>Upper limb spasticity</w:t>
      </w:r>
      <w:r w:rsidRPr="00645EAC">
        <w:rPr>
          <w:rFonts w:ascii="Futura" w:eastAsia="Calibri" w:hAnsi="Futura" w:cs="Calibri"/>
          <w:b/>
          <w:color w:val="000000"/>
          <w:sz w:val="20"/>
          <w:szCs w:val="20"/>
          <w:lang w:bidi="en-US"/>
        </w:rPr>
        <w:t xml:space="preserve"> </w:t>
      </w:r>
    </w:p>
    <w:p w14:paraId="16A53734" w14:textId="77777777" w:rsidR="00C11803" w:rsidRDefault="00C11803" w:rsidP="00320403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27F60318" w14:textId="23E17BA0" w:rsidR="00C05623" w:rsidRDefault="00C05623" w:rsidP="00320403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C05623">
        <w:rPr>
          <w:rFonts w:ascii="Futura" w:eastAsia="Calibri" w:hAnsi="Futura" w:cs="Calibri"/>
          <w:color w:val="000000"/>
          <w:sz w:val="20"/>
          <w:szCs w:val="20"/>
          <w:lang w:bidi="en-US"/>
        </w:rPr>
        <w:t>DOSAGE AND ADMINISTRATION</w:t>
      </w: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>:</w:t>
      </w:r>
    </w:p>
    <w:p w14:paraId="01418E64" w14:textId="77777777" w:rsidR="00C05623" w:rsidRDefault="00C05623" w:rsidP="00320403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C05623">
        <w:rPr>
          <w:rFonts w:ascii="Futura" w:eastAsia="Calibri" w:hAnsi="Futura" w:cs="Calibri"/>
          <w:color w:val="000000"/>
          <w:sz w:val="20"/>
          <w:szCs w:val="20"/>
          <w:lang w:bidi="en-US"/>
        </w:rPr>
        <w:t>• Cervical Dystonia: for patients with demonstrated tolerance of botulinum toxin injection, recommended total dosage is 2,500 Units to 5,000 Units divided among effected muscles</w:t>
      </w:r>
    </w:p>
    <w:p w14:paraId="6ABD86D0" w14:textId="3E77493D" w:rsidR="00645EAC" w:rsidRPr="009F51BE" w:rsidRDefault="00C05623" w:rsidP="00320403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C05623">
        <w:rPr>
          <w:rFonts w:ascii="Futura" w:eastAsia="Calibri" w:hAnsi="Futura" w:cs="Calibri"/>
          <w:color w:val="000000"/>
          <w:sz w:val="20"/>
          <w:szCs w:val="20"/>
          <w:lang w:bidi="en-US"/>
        </w:rPr>
        <w:t>• Chronic Sialorrhea: recommended dosage is 1,500 Units to 3,500 Units; 500 Units to 1,500 Units per parotid gland and 250 Units per submandibular gland; no more frequent than every 12 weeks</w:t>
      </w:r>
    </w:p>
    <w:p w14:paraId="484EEFFC" w14:textId="77777777" w:rsidR="00474DCE" w:rsidRPr="009F51BE" w:rsidRDefault="00474DCE" w:rsidP="00320403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32A7ECD5" w14:textId="5B7CCF6E" w:rsidR="00111E83" w:rsidRPr="009F51BE" w:rsidRDefault="00E22BA1" w:rsidP="00320403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F51BE">
        <w:rPr>
          <w:rFonts w:ascii="Futura" w:eastAsia="Calibri" w:hAnsi="Futura" w:cs="Calibri"/>
          <w:b/>
          <w:bCs/>
          <w:color w:val="000000"/>
          <w:sz w:val="24"/>
          <w:szCs w:val="24"/>
          <w:lang w:bidi="en-US"/>
        </w:rPr>
        <w:t>XEOMIN</w:t>
      </w:r>
      <w:r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is an acetylcholine release inhibitor and neuromuscular blocking agent indicated for the treatment or improvement of patients with: </w:t>
      </w:r>
    </w:p>
    <w:p w14:paraId="1A223D20" w14:textId="3C314C34" w:rsidR="00111E83" w:rsidRPr="009F51BE" w:rsidRDefault="00E22BA1" w:rsidP="00320403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B7"/>
      </w:r>
      <w:r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chronic sialorrhea </w:t>
      </w:r>
      <w:r w:rsidR="00111E83"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in patients 2 years of age </w:t>
      </w:r>
      <w:r w:rsidR="00FE2ABC"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t>and older</w:t>
      </w:r>
    </w:p>
    <w:p w14:paraId="0045A955" w14:textId="0A72C0CC" w:rsidR="00111E83" w:rsidRPr="009F51BE" w:rsidRDefault="00E22BA1" w:rsidP="00320403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B7"/>
      </w:r>
      <w:r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upper limb spasticity </w:t>
      </w:r>
      <w:r w:rsidR="00FE2ABC"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in adults, in patients </w:t>
      </w:r>
      <w:r w:rsidR="00DC0CA8"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t>aged</w:t>
      </w:r>
      <w:r w:rsidR="00FE2ABC"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2 to 17 years old excluding spasticity caused by cerebral </w:t>
      </w:r>
      <w:r w:rsidR="000F0644"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t>palsy</w:t>
      </w:r>
    </w:p>
    <w:p w14:paraId="64DA4C0D" w14:textId="12599883" w:rsidR="00111E83" w:rsidRPr="009F51BE" w:rsidRDefault="00E22BA1" w:rsidP="00320403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B7"/>
      </w:r>
      <w:r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</w:t>
      </w:r>
      <w:r w:rsidR="00DC0CA8"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t>Cervical</w:t>
      </w:r>
      <w:r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dystonia </w:t>
      </w:r>
      <w:r w:rsidR="000F0644"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t>in adults</w:t>
      </w:r>
    </w:p>
    <w:p w14:paraId="65E3A87B" w14:textId="3379DB2E" w:rsidR="006315C5" w:rsidRPr="009F51BE" w:rsidRDefault="00E22BA1" w:rsidP="00320403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B7"/>
      </w:r>
      <w:r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blepharospasm</w:t>
      </w:r>
      <w:r w:rsidR="00811596"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in adults</w:t>
      </w:r>
    </w:p>
    <w:p w14:paraId="0805B30D" w14:textId="77777777" w:rsidR="006315C5" w:rsidRPr="009F51BE" w:rsidRDefault="006315C5" w:rsidP="00320403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0B51F3C7" w14:textId="3A050383" w:rsidR="00A77887" w:rsidRPr="009F51BE" w:rsidRDefault="00E22BA1" w:rsidP="00A77887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</w:t>
      </w:r>
      <w:r w:rsidR="00A77887"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t>DOSAGE AND ADMINISTRATION:</w:t>
      </w:r>
    </w:p>
    <w:p w14:paraId="6201C247" w14:textId="77777777" w:rsidR="00A77887" w:rsidRPr="009F51BE" w:rsidRDefault="00A77887" w:rsidP="00A77887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t>Chronic Sialorrhea:</w:t>
      </w:r>
    </w:p>
    <w:p w14:paraId="6EE4DBDB" w14:textId="3F31DACF" w:rsidR="00A77887" w:rsidRPr="009F51BE" w:rsidRDefault="00A77887" w:rsidP="00A77887">
      <w:pPr>
        <w:pStyle w:val="ListParagraph"/>
        <w:numPr>
          <w:ilvl w:val="0"/>
          <w:numId w:val="27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Chronic Sialorrhea in Adults: the recommended total dose is 100 Units per treatment session consisting of 30 Units per parotid gland and 20 Units per submandibular gland, no sooner than every 16 weeks </w:t>
      </w:r>
    </w:p>
    <w:p w14:paraId="5CD34722" w14:textId="765C2CCD" w:rsidR="00A77887" w:rsidRPr="009F51BE" w:rsidRDefault="00A77887" w:rsidP="00A77887">
      <w:pPr>
        <w:pStyle w:val="ListParagraph"/>
        <w:numPr>
          <w:ilvl w:val="0"/>
          <w:numId w:val="27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t>Chronic Sialorrhea in Pediatric Patients: the recommended dose is based on body weight administered in a 3:2 dose ratio into the parotid and submandibular glands, respectively, no sooner than every 16 weeks; ultrasound guidance recommended</w:t>
      </w:r>
    </w:p>
    <w:p w14:paraId="0A3658CC" w14:textId="77777777" w:rsidR="00A77887" w:rsidRPr="009F51BE" w:rsidRDefault="00A77887" w:rsidP="00A77887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305CD6D1" w14:textId="7DA05052" w:rsidR="00A77887" w:rsidRPr="009F51BE" w:rsidRDefault="00A77887" w:rsidP="00A77887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t>Upper limb spasticity, cervical dystonia, and blepharospasm: the optimum dose, frequency, and number of injection sites in the treated muscle(s) should be based on severity and prior treatment response in patients previously treated with botulinum toxin; individualize dosing for each patient:</w:t>
      </w:r>
    </w:p>
    <w:p w14:paraId="34F2BBF4" w14:textId="390389AA" w:rsidR="00A77887" w:rsidRPr="009F51BE" w:rsidRDefault="00A77887" w:rsidP="00A77887">
      <w:pPr>
        <w:pStyle w:val="ListParagraph"/>
        <w:numPr>
          <w:ilvl w:val="0"/>
          <w:numId w:val="28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t>Upper Limb Spasticity in Adults: the recommended total dose is up to 400 Units, divided among affected muscles</w:t>
      </w:r>
    </w:p>
    <w:p w14:paraId="5F215AFA" w14:textId="4AD145DA" w:rsidR="00A77887" w:rsidRPr="009F51BE" w:rsidRDefault="00A77887" w:rsidP="00A77887">
      <w:pPr>
        <w:pStyle w:val="ListParagraph"/>
        <w:numPr>
          <w:ilvl w:val="0"/>
          <w:numId w:val="28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lastRenderedPageBreak/>
        <w:t>Upper Limb Spasticity in Pediatric Patients, excluding spasticity caused by cerebral palsy: the recommended total dose is 8 Units/kg (maximum 200 Units) per single upper limb or 16 Units/kg (maximum 400 U) in both upper limbs, divided among affected muscles</w:t>
      </w:r>
    </w:p>
    <w:p w14:paraId="1DAC12C5" w14:textId="16CE597F" w:rsidR="00A77887" w:rsidRPr="009F51BE" w:rsidRDefault="00A77887" w:rsidP="00111E83">
      <w:pPr>
        <w:pStyle w:val="ListParagraph"/>
        <w:numPr>
          <w:ilvl w:val="0"/>
          <w:numId w:val="28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t>Cervical Dystonia: the recommended initial dose is 120 Units per treatment session</w:t>
      </w:r>
    </w:p>
    <w:p w14:paraId="5C985EE1" w14:textId="6D58E342" w:rsidR="00474DCE" w:rsidRDefault="00A77887" w:rsidP="00111E83">
      <w:pPr>
        <w:pStyle w:val="ListParagraph"/>
        <w:numPr>
          <w:ilvl w:val="0"/>
          <w:numId w:val="28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F51BE">
        <w:rPr>
          <w:rFonts w:ascii="Futura" w:eastAsia="Calibri" w:hAnsi="Futura" w:cs="Calibri"/>
          <w:color w:val="000000"/>
          <w:sz w:val="20"/>
          <w:szCs w:val="20"/>
          <w:lang w:bidi="en-US"/>
        </w:rPr>
        <w:t>Blepharospasm: the recommended initial dose is 50 Units (25 Units per eye)</w:t>
      </w:r>
    </w:p>
    <w:p w14:paraId="2D229396" w14:textId="77777777" w:rsidR="008241D3" w:rsidRDefault="004E72C2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E72C2">
        <w:rPr>
          <w:rFonts w:ascii="Futura" w:eastAsia="Calibri" w:hAnsi="Futura" w:cs="Calibri"/>
          <w:b/>
          <w:bCs/>
          <w:color w:val="000000"/>
          <w:sz w:val="28"/>
          <w:szCs w:val="28"/>
          <w:lang w:bidi="en-US"/>
        </w:rPr>
        <w:t>DAXXIFY</w:t>
      </w:r>
      <w:r w:rsidRPr="004E72C2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is an acetylcholine release inhibitor and neuromuscular blocking agent indicated for the temporary improvement in the appearance of moderate to severe glabellar lines associated with corrugator and/or procerus muscle activity in adult patients. </w:t>
      </w:r>
    </w:p>
    <w:p w14:paraId="56DA5728" w14:textId="77777777" w:rsidR="008241D3" w:rsidRDefault="008241D3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5A5C022C" w14:textId="77777777" w:rsidR="00C95979" w:rsidRDefault="004E72C2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E72C2">
        <w:rPr>
          <w:rFonts w:ascii="Futura" w:eastAsia="Calibri" w:hAnsi="Futura" w:cs="Calibri"/>
          <w:color w:val="000000"/>
          <w:sz w:val="20"/>
          <w:szCs w:val="20"/>
          <w:lang w:bidi="en-US"/>
        </w:rPr>
        <w:t>DOSAGE AND ADMINISTRATION</w:t>
      </w:r>
      <w:r w:rsidR="00C95979">
        <w:rPr>
          <w:rFonts w:ascii="Futura" w:eastAsia="Calibri" w:hAnsi="Futura" w:cs="Calibri"/>
          <w:color w:val="000000"/>
          <w:sz w:val="20"/>
          <w:szCs w:val="20"/>
          <w:lang w:bidi="en-US"/>
        </w:rPr>
        <w:t>:</w:t>
      </w:r>
    </w:p>
    <w:p w14:paraId="4EBBFE36" w14:textId="77777777" w:rsidR="00C95979" w:rsidRDefault="004E72C2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E72C2">
        <w:rPr>
          <w:rFonts w:ascii="Futura" w:eastAsia="Calibri" w:hAnsi="Futura" w:cs="Calibri"/>
          <w:color w:val="000000"/>
          <w:sz w:val="20"/>
          <w:szCs w:val="20"/>
          <w:lang w:bidi="en-US"/>
        </w:rPr>
        <w:t>Glabellar Lines: 0.1 mL (8 Units) by intramuscular injection into each of five sites, for a total dose of 40 Units.</w:t>
      </w:r>
    </w:p>
    <w:p w14:paraId="2A7562A1" w14:textId="77777777" w:rsidR="00C95979" w:rsidRDefault="00C95979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4BC1017E" w14:textId="77777777" w:rsidR="00C95979" w:rsidRDefault="004E72C2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E72C2">
        <w:rPr>
          <w:rFonts w:ascii="Futura" w:eastAsia="Calibri" w:hAnsi="Futura" w:cs="Calibri"/>
          <w:color w:val="000000"/>
          <w:sz w:val="20"/>
          <w:szCs w:val="20"/>
          <w:lang w:bidi="en-US"/>
        </w:rPr>
        <w:t>DOSAGE FORMS AND STRENGTHS</w:t>
      </w:r>
      <w:r w:rsidR="00C95979">
        <w:rPr>
          <w:rFonts w:ascii="Futura" w:eastAsia="Calibri" w:hAnsi="Futura" w:cs="Calibri"/>
          <w:color w:val="000000"/>
          <w:sz w:val="20"/>
          <w:szCs w:val="20"/>
          <w:lang w:bidi="en-US"/>
        </w:rPr>
        <w:t>:</w:t>
      </w:r>
    </w:p>
    <w:p w14:paraId="3179BE7D" w14:textId="4FE2D2E2" w:rsidR="009F51BE" w:rsidRDefault="004E72C2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E72C2">
        <w:rPr>
          <w:rFonts w:ascii="Futura" w:eastAsia="Calibri" w:hAnsi="Futura" w:cs="Calibri"/>
          <w:color w:val="000000"/>
          <w:sz w:val="20"/>
          <w:szCs w:val="20"/>
          <w:lang w:bidi="en-US"/>
        </w:rPr>
        <w:t>For injection: 50 Units or 100 Units sterile lyophilized powder in a single-dose vial.</w:t>
      </w:r>
    </w:p>
    <w:p w14:paraId="6E2D7A45" w14:textId="77777777" w:rsidR="009F51BE" w:rsidRDefault="009F51BE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00295D19" w14:textId="28CCBF53" w:rsidR="009F51BE" w:rsidRDefault="00C95979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Daxxify is being added as a secondary agent in the instance it is being used </w:t>
      </w:r>
      <w:r w:rsidR="00366207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for a compendial use that is CMS approved.  The FDA labeled indication is not accepted and thus is </w:t>
      </w:r>
      <w:r w:rsidR="001B4744">
        <w:rPr>
          <w:rFonts w:ascii="Futura" w:eastAsia="Calibri" w:hAnsi="Futura" w:cs="Calibri"/>
          <w:color w:val="000000"/>
          <w:sz w:val="20"/>
          <w:szCs w:val="20"/>
          <w:lang w:bidi="en-US"/>
        </w:rPr>
        <w:t>not going to be covered.</w:t>
      </w:r>
    </w:p>
    <w:p w14:paraId="6BA3EBB8" w14:textId="77777777" w:rsidR="009F51BE" w:rsidRPr="009F51BE" w:rsidRDefault="009F51BE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2ED2793B" w14:textId="2919B873" w:rsidR="00320403" w:rsidRDefault="00DC1B0C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Duration</w:t>
      </w:r>
      <w:r w:rsidR="009C2524">
        <w:rPr>
          <w:rFonts w:ascii="Futura" w:hAnsi="Futura"/>
          <w:b/>
          <w:bCs/>
          <w:color w:val="00AEDB"/>
          <w:sz w:val="24"/>
          <w:szCs w:val="24"/>
        </w:rPr>
        <w:t xml:space="preserve"> of approval</w:t>
      </w:r>
      <w:r w:rsidR="00320403">
        <w:rPr>
          <w:rFonts w:ascii="Futura" w:hAnsi="Futura"/>
          <w:b/>
          <w:bCs/>
          <w:color w:val="00AEDB"/>
          <w:sz w:val="24"/>
          <w:szCs w:val="24"/>
        </w:rPr>
        <w:t>:</w:t>
      </w:r>
    </w:p>
    <w:p w14:paraId="5B8192B7" w14:textId="77777777" w:rsidR="00320403" w:rsidRDefault="00320403" w:rsidP="00320403">
      <w:p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</w:p>
    <w:p w14:paraId="08068DBB" w14:textId="6B28279F" w:rsidR="00542D9D" w:rsidRPr="00C96407" w:rsidRDefault="009C2524" w:rsidP="00320403">
      <w:pPr>
        <w:spacing w:after="0" w:line="240" w:lineRule="auto"/>
        <w:rPr>
          <w:rFonts w:ascii="Futura" w:hAnsi="Futura"/>
          <w:sz w:val="24"/>
          <w:szCs w:val="24"/>
        </w:rPr>
      </w:pPr>
      <w:r w:rsidRPr="00C96407">
        <w:rPr>
          <w:rFonts w:ascii="Futura" w:hAnsi="Futura"/>
          <w:b/>
          <w:bCs/>
          <w:sz w:val="24"/>
          <w:szCs w:val="24"/>
        </w:rPr>
        <w:t>I</w:t>
      </w:r>
      <w:r w:rsidR="00DC1B0C" w:rsidRPr="00C96407">
        <w:rPr>
          <w:rFonts w:ascii="Futura" w:hAnsi="Futura"/>
          <w:b/>
          <w:bCs/>
          <w:sz w:val="24"/>
          <w:szCs w:val="24"/>
        </w:rPr>
        <w:t>nitial authorization</w:t>
      </w:r>
      <w:r w:rsidR="00DC1B0C" w:rsidRPr="00C96407">
        <w:rPr>
          <w:rFonts w:ascii="Futura" w:hAnsi="Futura"/>
          <w:sz w:val="24"/>
          <w:szCs w:val="24"/>
        </w:rPr>
        <w:t xml:space="preserve">: Length requested, </w:t>
      </w:r>
      <w:r w:rsidR="00B8376A" w:rsidRPr="00C96407">
        <w:rPr>
          <w:rFonts w:ascii="Futura" w:hAnsi="Futura"/>
          <w:sz w:val="24"/>
          <w:szCs w:val="24"/>
        </w:rPr>
        <w:t>length specified in the indication above (if applicable), or 12 months, whichever is shortest</w:t>
      </w:r>
    </w:p>
    <w:p w14:paraId="4C701B58" w14:textId="77777777" w:rsidR="00B8376A" w:rsidRPr="00C96407" w:rsidRDefault="00B8376A" w:rsidP="00320403">
      <w:pPr>
        <w:spacing w:after="0" w:line="240" w:lineRule="auto"/>
        <w:rPr>
          <w:rFonts w:ascii="Futura" w:hAnsi="Futura"/>
          <w:sz w:val="24"/>
          <w:szCs w:val="24"/>
        </w:rPr>
      </w:pPr>
    </w:p>
    <w:p w14:paraId="40EDAC36" w14:textId="5163999F" w:rsidR="00B8376A" w:rsidRPr="00C96407" w:rsidRDefault="00B8376A" w:rsidP="00320403">
      <w:pPr>
        <w:spacing w:after="0" w:line="240" w:lineRule="auto"/>
        <w:rPr>
          <w:rFonts w:ascii="Futura" w:hAnsi="Futura"/>
          <w:sz w:val="24"/>
          <w:szCs w:val="24"/>
        </w:rPr>
      </w:pPr>
      <w:r w:rsidRPr="00C96407">
        <w:rPr>
          <w:rFonts w:ascii="Futura" w:hAnsi="Futura"/>
          <w:b/>
          <w:bCs/>
          <w:sz w:val="24"/>
          <w:szCs w:val="24"/>
        </w:rPr>
        <w:t>Reauthorization</w:t>
      </w:r>
      <w:r w:rsidRPr="00C96407">
        <w:rPr>
          <w:rFonts w:ascii="Futura" w:hAnsi="Futura"/>
          <w:sz w:val="24"/>
          <w:szCs w:val="24"/>
        </w:rPr>
        <w:t xml:space="preserve">: </w:t>
      </w:r>
      <w:r w:rsidR="00C96407" w:rsidRPr="00C96407">
        <w:rPr>
          <w:rFonts w:ascii="Futura" w:hAnsi="Futura"/>
          <w:sz w:val="24"/>
          <w:szCs w:val="24"/>
        </w:rPr>
        <w:t>Length requested, length specified in the indication above (if applicable), or 12 months, whichever is shortest</w:t>
      </w:r>
    </w:p>
    <w:p w14:paraId="0323F364" w14:textId="77777777" w:rsidR="00C96407" w:rsidRDefault="00C96407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p w14:paraId="6080660B" w14:textId="062258A2" w:rsidR="00320403" w:rsidRDefault="00CD2097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Exception Criteria</w:t>
      </w:r>
      <w:r w:rsidR="00320403">
        <w:rPr>
          <w:rFonts w:ascii="Futura" w:hAnsi="Futura"/>
          <w:b/>
          <w:bCs/>
          <w:color w:val="00AEDB"/>
          <w:sz w:val="24"/>
          <w:szCs w:val="24"/>
        </w:rPr>
        <w:t>:</w:t>
      </w:r>
    </w:p>
    <w:p w14:paraId="58F1F639" w14:textId="77777777" w:rsidR="00C3149B" w:rsidRDefault="00C3149B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p w14:paraId="480F1823" w14:textId="36CC1DEE" w:rsidR="00CD2097" w:rsidRPr="004E3830" w:rsidRDefault="00CD2097" w:rsidP="00320403">
      <w:pPr>
        <w:spacing w:after="0" w:line="240" w:lineRule="auto"/>
        <w:rPr>
          <w:rFonts w:ascii="Futura" w:hAnsi="Futura"/>
          <w:sz w:val="24"/>
          <w:szCs w:val="24"/>
        </w:rPr>
      </w:pPr>
      <w:r w:rsidRPr="004E3830">
        <w:rPr>
          <w:rFonts w:ascii="Futura" w:hAnsi="Futura"/>
          <w:b/>
          <w:bCs/>
          <w:sz w:val="24"/>
          <w:szCs w:val="24"/>
        </w:rPr>
        <w:t>Dysport and Xeomin</w:t>
      </w:r>
      <w:r w:rsidRPr="004E3830">
        <w:rPr>
          <w:rFonts w:ascii="Futura" w:hAnsi="Futura"/>
          <w:sz w:val="24"/>
          <w:szCs w:val="24"/>
        </w:rPr>
        <w:t xml:space="preserve"> </w:t>
      </w:r>
      <w:r w:rsidR="006747AA" w:rsidRPr="004E3830">
        <w:rPr>
          <w:rFonts w:ascii="Futura" w:hAnsi="Futura"/>
          <w:sz w:val="24"/>
          <w:szCs w:val="24"/>
        </w:rPr>
        <w:t xml:space="preserve">should be considered first line agents for use </w:t>
      </w:r>
      <w:r w:rsidR="00967F85" w:rsidRPr="004E3830">
        <w:rPr>
          <w:rFonts w:ascii="Futura" w:hAnsi="Futura"/>
          <w:sz w:val="24"/>
          <w:szCs w:val="24"/>
        </w:rPr>
        <w:t xml:space="preserve">and </w:t>
      </w:r>
      <w:r w:rsidR="008F6DA5" w:rsidRPr="004E3830">
        <w:rPr>
          <w:rFonts w:ascii="Futura" w:hAnsi="Futura"/>
          <w:sz w:val="24"/>
          <w:szCs w:val="24"/>
        </w:rPr>
        <w:t xml:space="preserve">if </w:t>
      </w:r>
      <w:r w:rsidR="00967F85" w:rsidRPr="004E3830">
        <w:rPr>
          <w:rFonts w:ascii="Futura" w:hAnsi="Futura"/>
          <w:sz w:val="24"/>
          <w:szCs w:val="24"/>
        </w:rPr>
        <w:t xml:space="preserve">Botox </w:t>
      </w:r>
      <w:r w:rsidR="008F6DA5" w:rsidRPr="004E3830">
        <w:rPr>
          <w:rFonts w:ascii="Futura" w:hAnsi="Futura"/>
          <w:sz w:val="24"/>
          <w:szCs w:val="24"/>
        </w:rPr>
        <w:t>or</w:t>
      </w:r>
      <w:r w:rsidR="00967F85" w:rsidRPr="004E3830">
        <w:rPr>
          <w:rFonts w:ascii="Futura" w:hAnsi="Futura"/>
          <w:sz w:val="24"/>
          <w:szCs w:val="24"/>
        </w:rPr>
        <w:t xml:space="preserve"> Myobloc</w:t>
      </w:r>
      <w:r w:rsidR="008F6DA5" w:rsidRPr="004E3830">
        <w:rPr>
          <w:rFonts w:ascii="Futura" w:hAnsi="Futura"/>
          <w:sz w:val="24"/>
          <w:szCs w:val="24"/>
        </w:rPr>
        <w:t xml:space="preserve"> is requested </w:t>
      </w:r>
      <w:r w:rsidR="00702342" w:rsidRPr="004E3830">
        <w:rPr>
          <w:rFonts w:ascii="Futura" w:hAnsi="Futura"/>
          <w:sz w:val="24"/>
          <w:szCs w:val="24"/>
        </w:rPr>
        <w:t>the following considerations must occur</w:t>
      </w:r>
      <w:r w:rsidR="007F4F63" w:rsidRPr="004E3830">
        <w:rPr>
          <w:rFonts w:ascii="Futura" w:hAnsi="Futura"/>
          <w:sz w:val="24"/>
          <w:szCs w:val="24"/>
        </w:rPr>
        <w:t>:</w:t>
      </w:r>
    </w:p>
    <w:p w14:paraId="2626BE08" w14:textId="24A53B9E" w:rsidR="007F4F63" w:rsidRPr="004E3830" w:rsidRDefault="00050288" w:rsidP="00702342">
      <w:pPr>
        <w:pStyle w:val="ListParagraph"/>
        <w:numPr>
          <w:ilvl w:val="0"/>
          <w:numId w:val="46"/>
        </w:numPr>
        <w:spacing w:after="0" w:line="240" w:lineRule="auto"/>
        <w:rPr>
          <w:rFonts w:ascii="Futura" w:hAnsi="Futura"/>
          <w:sz w:val="24"/>
          <w:szCs w:val="24"/>
        </w:rPr>
      </w:pPr>
      <w:r w:rsidRPr="004E3830">
        <w:rPr>
          <w:rFonts w:ascii="Futura" w:hAnsi="Futura"/>
          <w:sz w:val="24"/>
          <w:szCs w:val="24"/>
        </w:rPr>
        <w:t xml:space="preserve">Request is not for indications covered by </w:t>
      </w:r>
      <w:r w:rsidR="00002194" w:rsidRPr="004E3830">
        <w:rPr>
          <w:rFonts w:ascii="Futura" w:hAnsi="Futura"/>
          <w:sz w:val="24"/>
          <w:szCs w:val="24"/>
        </w:rPr>
        <w:t>Dysport and Xeomin</w:t>
      </w:r>
    </w:p>
    <w:p w14:paraId="0E97CF15" w14:textId="2E1B536E" w:rsidR="00930C83" w:rsidRPr="004E3830" w:rsidRDefault="00930C83" w:rsidP="00702342">
      <w:pPr>
        <w:pStyle w:val="ListParagraph"/>
        <w:numPr>
          <w:ilvl w:val="0"/>
          <w:numId w:val="46"/>
        </w:numPr>
        <w:spacing w:after="0" w:line="240" w:lineRule="auto"/>
        <w:rPr>
          <w:rFonts w:ascii="Futura" w:hAnsi="Futura"/>
          <w:sz w:val="24"/>
          <w:szCs w:val="24"/>
        </w:rPr>
      </w:pPr>
      <w:r w:rsidRPr="004E3830">
        <w:rPr>
          <w:rFonts w:ascii="Futura" w:hAnsi="Futura"/>
          <w:sz w:val="24"/>
          <w:szCs w:val="24"/>
        </w:rPr>
        <w:t xml:space="preserve">Request includes documentation of trial and </w:t>
      </w:r>
      <w:r w:rsidR="0010271C" w:rsidRPr="004E3830">
        <w:rPr>
          <w:rFonts w:ascii="Futura" w:hAnsi="Futura"/>
          <w:sz w:val="24"/>
          <w:szCs w:val="24"/>
        </w:rPr>
        <w:t xml:space="preserve">failure, </w:t>
      </w:r>
      <w:r w:rsidR="00BA7316" w:rsidRPr="004E3830">
        <w:rPr>
          <w:rFonts w:ascii="Futura" w:hAnsi="Futura"/>
          <w:sz w:val="24"/>
          <w:szCs w:val="24"/>
        </w:rPr>
        <w:t>inadequa</w:t>
      </w:r>
      <w:r w:rsidR="0010271C" w:rsidRPr="004E3830">
        <w:rPr>
          <w:rFonts w:ascii="Futura" w:hAnsi="Futura"/>
          <w:sz w:val="24"/>
          <w:szCs w:val="24"/>
        </w:rPr>
        <w:t>te response, contraindication, or adverse event caused by</w:t>
      </w:r>
      <w:r w:rsidRPr="004E3830">
        <w:rPr>
          <w:rFonts w:ascii="Futura" w:hAnsi="Futura"/>
          <w:sz w:val="24"/>
          <w:szCs w:val="24"/>
        </w:rPr>
        <w:t xml:space="preserve"> </w:t>
      </w:r>
      <w:r w:rsidR="00F36C54" w:rsidRPr="004E3830">
        <w:rPr>
          <w:rFonts w:ascii="Futura" w:hAnsi="Futura"/>
          <w:sz w:val="24"/>
          <w:szCs w:val="24"/>
        </w:rPr>
        <w:t>Dysport and</w:t>
      </w:r>
      <w:r w:rsidR="0010271C" w:rsidRPr="004E3830">
        <w:rPr>
          <w:rFonts w:ascii="Futura" w:hAnsi="Futura"/>
          <w:sz w:val="24"/>
          <w:szCs w:val="24"/>
        </w:rPr>
        <w:t>/or</w:t>
      </w:r>
      <w:r w:rsidR="00F36C54" w:rsidRPr="004E3830">
        <w:rPr>
          <w:rFonts w:ascii="Futura" w:hAnsi="Futura"/>
          <w:sz w:val="24"/>
          <w:szCs w:val="24"/>
        </w:rPr>
        <w:t xml:space="preserve"> Xeomin</w:t>
      </w:r>
      <w:r w:rsidR="00446EA0" w:rsidRPr="004E3830">
        <w:rPr>
          <w:rFonts w:ascii="Futura" w:hAnsi="Futura"/>
          <w:sz w:val="24"/>
          <w:szCs w:val="24"/>
        </w:rPr>
        <w:t xml:space="preserve"> where appropriate</w:t>
      </w:r>
    </w:p>
    <w:p w14:paraId="69FD7B8C" w14:textId="651F2C73" w:rsidR="00002194" w:rsidRPr="004E3830" w:rsidRDefault="00F36C54" w:rsidP="00930C83">
      <w:pPr>
        <w:pStyle w:val="ListParagraph"/>
        <w:numPr>
          <w:ilvl w:val="0"/>
          <w:numId w:val="46"/>
        </w:numPr>
        <w:spacing w:after="0" w:line="240" w:lineRule="auto"/>
        <w:rPr>
          <w:rFonts w:ascii="Futura" w:hAnsi="Futura"/>
          <w:sz w:val="24"/>
          <w:szCs w:val="24"/>
        </w:rPr>
      </w:pPr>
      <w:r w:rsidRPr="004E3830">
        <w:rPr>
          <w:rFonts w:ascii="Futura" w:hAnsi="Futura"/>
          <w:sz w:val="24"/>
          <w:szCs w:val="24"/>
        </w:rPr>
        <w:t>Request includes</w:t>
      </w:r>
      <w:r w:rsidR="00002194" w:rsidRPr="004E3830">
        <w:rPr>
          <w:rFonts w:ascii="Futura" w:hAnsi="Futura"/>
          <w:sz w:val="24"/>
          <w:szCs w:val="24"/>
        </w:rPr>
        <w:t xml:space="preserve"> documentation of trial and failure</w:t>
      </w:r>
      <w:r w:rsidR="00DB428A" w:rsidRPr="004E3830">
        <w:rPr>
          <w:rFonts w:ascii="Futura" w:hAnsi="Futura"/>
          <w:sz w:val="24"/>
          <w:szCs w:val="24"/>
        </w:rPr>
        <w:t xml:space="preserve">, </w:t>
      </w:r>
      <w:r w:rsidR="00002194" w:rsidRPr="004E3830">
        <w:rPr>
          <w:rFonts w:ascii="Futura" w:hAnsi="Futura"/>
          <w:sz w:val="24"/>
          <w:szCs w:val="24"/>
        </w:rPr>
        <w:t>inadequa</w:t>
      </w:r>
      <w:r w:rsidR="00DB428A" w:rsidRPr="004E3830">
        <w:rPr>
          <w:rFonts w:ascii="Futura" w:hAnsi="Futura"/>
          <w:sz w:val="24"/>
          <w:szCs w:val="24"/>
        </w:rPr>
        <w:t>te response, contraindication, or adverse event caused by</w:t>
      </w:r>
      <w:r w:rsidR="00002194" w:rsidRPr="004E3830">
        <w:rPr>
          <w:rFonts w:ascii="Futura" w:hAnsi="Futura"/>
          <w:sz w:val="24"/>
          <w:szCs w:val="24"/>
        </w:rPr>
        <w:t xml:space="preserve"> </w:t>
      </w:r>
      <w:r w:rsidR="005C3DC3" w:rsidRPr="004E3830">
        <w:rPr>
          <w:rFonts w:ascii="Futura" w:hAnsi="Futura"/>
          <w:sz w:val="24"/>
          <w:szCs w:val="24"/>
        </w:rPr>
        <w:t>Part D products if available</w:t>
      </w:r>
      <w:r w:rsidR="00BA7316" w:rsidRPr="004E3830">
        <w:rPr>
          <w:rFonts w:ascii="Futura" w:hAnsi="Futura"/>
          <w:sz w:val="24"/>
          <w:szCs w:val="24"/>
        </w:rPr>
        <w:t xml:space="preserve"> for the indication requested</w:t>
      </w:r>
      <w:r w:rsidR="00446EA0" w:rsidRPr="004E3830">
        <w:rPr>
          <w:rFonts w:ascii="Futura" w:hAnsi="Futura"/>
          <w:sz w:val="24"/>
          <w:szCs w:val="24"/>
        </w:rPr>
        <w:t xml:space="preserve"> where appropriate</w:t>
      </w:r>
    </w:p>
    <w:p w14:paraId="11702901" w14:textId="2C7EBD4E" w:rsidR="005C3DC3" w:rsidRPr="004E3830" w:rsidRDefault="007812DC" w:rsidP="00ED739E">
      <w:pPr>
        <w:pStyle w:val="ListParagraph"/>
        <w:numPr>
          <w:ilvl w:val="0"/>
          <w:numId w:val="46"/>
        </w:numPr>
        <w:spacing w:after="0" w:line="240" w:lineRule="auto"/>
        <w:rPr>
          <w:rFonts w:ascii="Futura" w:hAnsi="Futura"/>
          <w:sz w:val="24"/>
          <w:szCs w:val="24"/>
        </w:rPr>
      </w:pPr>
      <w:r w:rsidRPr="004E3830">
        <w:rPr>
          <w:rFonts w:ascii="Futura" w:hAnsi="Futura"/>
          <w:sz w:val="24"/>
          <w:szCs w:val="24"/>
        </w:rPr>
        <w:t xml:space="preserve">There is documentation </w:t>
      </w:r>
      <w:r w:rsidR="00446EA0" w:rsidRPr="004E3830">
        <w:rPr>
          <w:rFonts w:ascii="Futura" w:hAnsi="Futura"/>
          <w:sz w:val="24"/>
          <w:szCs w:val="24"/>
        </w:rPr>
        <w:t xml:space="preserve">that </w:t>
      </w:r>
      <w:r w:rsidR="00DF38F3" w:rsidRPr="004E3830">
        <w:rPr>
          <w:rFonts w:ascii="Futura" w:hAnsi="Futura"/>
          <w:sz w:val="24"/>
          <w:szCs w:val="24"/>
        </w:rPr>
        <w:t>member is currently receiving treatment with the targeted product (if a new member)</w:t>
      </w:r>
      <w:r w:rsidR="00355F8A">
        <w:rPr>
          <w:rFonts w:ascii="Futura" w:hAnsi="Futura"/>
          <w:sz w:val="24"/>
          <w:szCs w:val="24"/>
        </w:rPr>
        <w:t xml:space="preserve"> in the past 365 days</w:t>
      </w:r>
      <w:r w:rsidR="00DF38F3" w:rsidRPr="004E3830">
        <w:rPr>
          <w:rFonts w:ascii="Futura" w:hAnsi="Futura"/>
          <w:sz w:val="24"/>
          <w:szCs w:val="24"/>
        </w:rPr>
        <w:t xml:space="preserve">, </w:t>
      </w:r>
      <w:r w:rsidR="004E3830" w:rsidRPr="004E3830">
        <w:rPr>
          <w:rFonts w:ascii="Futura" w:hAnsi="Futura"/>
          <w:sz w:val="24"/>
          <w:szCs w:val="24"/>
        </w:rPr>
        <w:t>excluding when that product is obtained as a sample or via a manufacturer patient assistance program</w:t>
      </w:r>
    </w:p>
    <w:p w14:paraId="55CF9D8D" w14:textId="77777777" w:rsidR="00CD2097" w:rsidRDefault="00CD2097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p w14:paraId="4577D0A3" w14:textId="0559CE67" w:rsidR="00320403" w:rsidRDefault="00320403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 xml:space="preserve">Reference(s): </w:t>
      </w:r>
    </w:p>
    <w:p w14:paraId="208BE092" w14:textId="77777777" w:rsidR="00320403" w:rsidRDefault="00320403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p w14:paraId="1E01094F" w14:textId="00254E9F" w:rsidR="009C7DD7" w:rsidRDefault="00AA09A0" w:rsidP="00E51E1F">
      <w:pPr>
        <w:pStyle w:val="ListParagraph"/>
        <w:numPr>
          <w:ilvl w:val="0"/>
          <w:numId w:val="5"/>
        </w:num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Botox Package Insert.  </w:t>
      </w:r>
      <w:hyperlink r:id="rId9" w:history="1">
        <w:r w:rsidR="00A05151" w:rsidRPr="000C6EF5">
          <w:rPr>
            <w:rStyle w:val="Hyperlink"/>
            <w:rFonts w:ascii="Futura" w:eastAsia="Calibri" w:hAnsi="Futura" w:cs="Calibri"/>
            <w:b/>
            <w:bCs/>
            <w:sz w:val="20"/>
            <w:szCs w:val="20"/>
            <w:lang w:bidi="en-US"/>
          </w:rPr>
          <w:t>https://www.rxabbvie.com/pdf/botox_pi.pdf</w:t>
        </w:r>
      </w:hyperlink>
    </w:p>
    <w:p w14:paraId="77E16703" w14:textId="00A9C4B2" w:rsidR="00A05151" w:rsidRPr="00A05151" w:rsidRDefault="00A05151" w:rsidP="00E51E1F">
      <w:pPr>
        <w:pStyle w:val="ListParagraph"/>
        <w:numPr>
          <w:ilvl w:val="0"/>
          <w:numId w:val="5"/>
        </w:num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Dysport Package Insert.  </w:t>
      </w:r>
      <w:hyperlink r:id="rId10" w:history="1">
        <w:r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https://www.dysportusa.com/PI</w:t>
        </w:r>
      </w:hyperlink>
    </w:p>
    <w:p w14:paraId="66F56261" w14:textId="50C2475C" w:rsidR="00A05151" w:rsidRPr="00A74550" w:rsidRDefault="00A74550" w:rsidP="00E51E1F">
      <w:pPr>
        <w:pStyle w:val="ListParagraph"/>
        <w:numPr>
          <w:ilvl w:val="0"/>
          <w:numId w:val="5"/>
        </w:num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lastRenderedPageBreak/>
        <w:t xml:space="preserve">Xeomin Package Insert.  </w:t>
      </w:r>
      <w:hyperlink r:id="rId11" w:history="1">
        <w:r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https://dailymed.nlm.nih.gov/dailymed/fda/fdaDrugXsl.cfm?setid=ccdc3aae-6e2d-4cd0-a51c-8375bfee9458&amp;type=display</w:t>
        </w:r>
      </w:hyperlink>
    </w:p>
    <w:p w14:paraId="38E206E4" w14:textId="22C9EF75" w:rsidR="00A74550" w:rsidRPr="00C31113" w:rsidRDefault="00FA7C17" w:rsidP="00E51E1F">
      <w:pPr>
        <w:pStyle w:val="ListParagraph"/>
        <w:numPr>
          <w:ilvl w:val="0"/>
          <w:numId w:val="5"/>
        </w:num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Myobloc Package Insert.  </w:t>
      </w:r>
      <w:hyperlink r:id="rId12" w:history="1">
        <w:r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https://www.myoblochcp.com/files/Myobloc-Prescribing-Information.pdf</w:t>
        </w:r>
      </w:hyperlink>
    </w:p>
    <w:p w14:paraId="56B8F4EE" w14:textId="6C377E55" w:rsidR="00C31113" w:rsidRPr="00FA7C17" w:rsidRDefault="00C31113" w:rsidP="00E51E1F">
      <w:pPr>
        <w:pStyle w:val="ListParagraph"/>
        <w:numPr>
          <w:ilvl w:val="0"/>
          <w:numId w:val="5"/>
        </w:num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>
        <w:t xml:space="preserve">Daxxify Package Insert.  </w:t>
      </w:r>
      <w:hyperlink r:id="rId13" w:history="1">
        <w:r>
          <w:rPr>
            <w:rStyle w:val="Hyperlink"/>
          </w:rPr>
          <w:t>https://www.accessdata.fda.gov/drugsatfda_docs/label/2022/761127s000lbl.pdf</w:t>
        </w:r>
      </w:hyperlink>
    </w:p>
    <w:p w14:paraId="2A62542D" w14:textId="4A28A73A" w:rsidR="00FA7C17" w:rsidRPr="00F64756" w:rsidRDefault="00F64756" w:rsidP="00E51E1F">
      <w:pPr>
        <w:pStyle w:val="ListParagraph"/>
        <w:numPr>
          <w:ilvl w:val="0"/>
          <w:numId w:val="5"/>
        </w:num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eternalHealth Medicare Part B Prior Authorization List.  </w:t>
      </w:r>
      <w:hyperlink r:id="rId14" w:history="1">
        <w:r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https://www.eternalhealth.com/wp-content/uploads/2022/10/eternalHealth_MA-Part-B-PA-List-eff-1-1-2025.pdf</w:t>
        </w:r>
      </w:hyperlink>
    </w:p>
    <w:p w14:paraId="7B223866" w14:textId="4E9AAC22" w:rsidR="00F64756" w:rsidRPr="00AB1732" w:rsidRDefault="00A46203" w:rsidP="00E51E1F">
      <w:pPr>
        <w:pStyle w:val="ListParagraph"/>
        <w:numPr>
          <w:ilvl w:val="0"/>
          <w:numId w:val="5"/>
        </w:num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Botulinum Toxin Types A and B LCD L35172. </w:t>
      </w:r>
      <w:hyperlink r:id="rId15" w:history="1">
        <w:r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https://www.cms.gov/medicare-coverage-database/view/lcd.aspx?lcdid=35172&amp;ver=68&amp;bc=0</w:t>
        </w:r>
      </w:hyperlink>
    </w:p>
    <w:p w14:paraId="5703F7AB" w14:textId="6574349D" w:rsidR="00AB1732" w:rsidRPr="00A46203" w:rsidRDefault="00AB1732" w:rsidP="00E51E1F">
      <w:pPr>
        <w:pStyle w:val="ListParagraph"/>
        <w:numPr>
          <w:ilvl w:val="0"/>
          <w:numId w:val="5"/>
        </w:num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>
        <w:t>Billing and coding: Botulinum Toxins LCD A52848.</w:t>
      </w:r>
      <w:r w:rsidR="00686EB1">
        <w:t xml:space="preserve"> </w:t>
      </w:r>
      <w:hyperlink r:id="rId16" w:history="1">
        <w:r w:rsidR="00686EB1">
          <w:rPr>
            <w:rStyle w:val="Hyperlink"/>
          </w:rPr>
          <w:t>https://www.cms.gov/medicare-coverage-database/view/article.aspx?articleId=52848&amp;LCDId=33646&amp;DocID=L33646</w:t>
        </w:r>
      </w:hyperlink>
    </w:p>
    <w:p w14:paraId="55401300" w14:textId="177C702B" w:rsidR="00A46203" w:rsidRPr="00AA09A0" w:rsidRDefault="00F45E5D" w:rsidP="00E51E1F">
      <w:pPr>
        <w:pStyle w:val="ListParagraph"/>
        <w:numPr>
          <w:ilvl w:val="0"/>
          <w:numId w:val="5"/>
        </w:num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CMS ASP Pricing Files.  </w:t>
      </w:r>
      <w:hyperlink r:id="rId17" w:history="1">
        <w:r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https://www.cms.gov/medicare/payment/part-b-drugs/asp-pricing-files</w:t>
        </w:r>
      </w:hyperlink>
    </w:p>
    <w:p w14:paraId="0660324A" w14:textId="77777777" w:rsidR="009C7DD7" w:rsidRDefault="009C7DD7" w:rsidP="009C7DD7">
      <w:pPr>
        <w:pStyle w:val="ListParagraph"/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717ACA0E" w14:textId="0FC644FC" w:rsidR="000D5D23" w:rsidRPr="00171CC3" w:rsidRDefault="000D5D23" w:rsidP="00320403">
      <w:pPr>
        <w:widowControl w:val="0"/>
        <w:autoSpaceDE w:val="0"/>
        <w:autoSpaceDN w:val="0"/>
        <w:spacing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sectPr w:rsidR="000D5D23" w:rsidRPr="00171CC3" w:rsidSect="00CB0EDA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Futura">
    <w:altName w:val="Century Gothic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DEC75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3588C2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A16F38"/>
    <w:multiLevelType w:val="hybridMultilevel"/>
    <w:tmpl w:val="04407252"/>
    <w:lvl w:ilvl="0" w:tplc="4F8400B2">
      <w:start w:val="1"/>
      <w:numFmt w:val="lowerLetter"/>
      <w:lvlText w:val="%1.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C2E300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D42D04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E91B6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E0FA12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1EC698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9E76CE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AAF72C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447CF4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367888"/>
    <w:multiLevelType w:val="hybridMultilevel"/>
    <w:tmpl w:val="86DAB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57DAF"/>
    <w:multiLevelType w:val="multilevel"/>
    <w:tmpl w:val="DA9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510777"/>
    <w:multiLevelType w:val="hybridMultilevel"/>
    <w:tmpl w:val="3D72C44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18FF26E8"/>
    <w:multiLevelType w:val="hybridMultilevel"/>
    <w:tmpl w:val="D1041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B5152"/>
    <w:multiLevelType w:val="hybridMultilevel"/>
    <w:tmpl w:val="D7A69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E15F3"/>
    <w:multiLevelType w:val="multilevel"/>
    <w:tmpl w:val="8892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0670E6"/>
    <w:multiLevelType w:val="hybridMultilevel"/>
    <w:tmpl w:val="0398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66C6F"/>
    <w:multiLevelType w:val="hybridMultilevel"/>
    <w:tmpl w:val="74AC4940"/>
    <w:lvl w:ilvl="0" w:tplc="70C0DBAA">
      <w:start w:val="28"/>
      <w:numFmt w:val="lowerLetter"/>
      <w:lvlText w:val="%1.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0CE24C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52CC28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0C1BA2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E6D708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F299C6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A40382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14DE7A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089694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8E1D87"/>
    <w:multiLevelType w:val="hybridMultilevel"/>
    <w:tmpl w:val="815627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34E3A"/>
    <w:multiLevelType w:val="hybridMultilevel"/>
    <w:tmpl w:val="6FDCC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A5804"/>
    <w:multiLevelType w:val="hybridMultilevel"/>
    <w:tmpl w:val="1600418E"/>
    <w:lvl w:ilvl="0" w:tplc="DC3A31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302550"/>
    <w:multiLevelType w:val="hybridMultilevel"/>
    <w:tmpl w:val="38F21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D417C"/>
    <w:multiLevelType w:val="hybridMultilevel"/>
    <w:tmpl w:val="8898BBFC"/>
    <w:lvl w:ilvl="0" w:tplc="0409000F">
      <w:start w:val="1"/>
      <w:numFmt w:val="decimal"/>
      <w:lvlText w:val="%1."/>
      <w:lvlJc w:val="left"/>
      <w:pPr>
        <w:ind w:left="1785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7A8364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D80916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7CCAC8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16CFAA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A2463C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CAAA46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F29CB6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668E06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5017C16"/>
    <w:multiLevelType w:val="multilevel"/>
    <w:tmpl w:val="61DEEA6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DB13DE8"/>
    <w:multiLevelType w:val="hybridMultilevel"/>
    <w:tmpl w:val="36140DD0"/>
    <w:lvl w:ilvl="0" w:tplc="24C059E0">
      <w:start w:val="20"/>
      <w:numFmt w:val="lowerLetter"/>
      <w:lvlText w:val="%1.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005068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DEB7CC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74326A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88D67E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F0EDFE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C69C96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A6E0C0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7847CC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E9905C5"/>
    <w:multiLevelType w:val="hybridMultilevel"/>
    <w:tmpl w:val="97702DF8"/>
    <w:lvl w:ilvl="0" w:tplc="0409000F">
      <w:start w:val="1"/>
      <w:numFmt w:val="decimal"/>
      <w:lvlText w:val="%1."/>
      <w:lvlJc w:val="left"/>
      <w:pPr>
        <w:ind w:left="1785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269616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CE1E80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5EABEA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7809CE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64A700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CC2D2C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72A4FE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1414C0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2BA642E"/>
    <w:multiLevelType w:val="hybridMultilevel"/>
    <w:tmpl w:val="DFA8AE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20862"/>
    <w:multiLevelType w:val="hybridMultilevel"/>
    <w:tmpl w:val="9F620E02"/>
    <w:lvl w:ilvl="0" w:tplc="0409000F">
      <w:start w:val="1"/>
      <w:numFmt w:val="decimal"/>
      <w:lvlText w:val="%1."/>
      <w:lvlJc w:val="left"/>
      <w:pPr>
        <w:ind w:left="180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72C57A">
      <w:start w:val="1"/>
      <w:numFmt w:val="lowerLetter"/>
      <w:lvlText w:val="%2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04F5CE">
      <w:start w:val="1"/>
      <w:numFmt w:val="lowerRoman"/>
      <w:lvlText w:val="%3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9E76E8">
      <w:start w:val="1"/>
      <w:numFmt w:val="decimal"/>
      <w:lvlText w:val="%4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2039FC">
      <w:start w:val="1"/>
      <w:numFmt w:val="lowerLetter"/>
      <w:lvlText w:val="%5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50F0AA">
      <w:start w:val="1"/>
      <w:numFmt w:val="lowerRoman"/>
      <w:lvlText w:val="%6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1C5982">
      <w:start w:val="1"/>
      <w:numFmt w:val="decimal"/>
      <w:lvlText w:val="%7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EACF7E">
      <w:start w:val="1"/>
      <w:numFmt w:val="lowerLetter"/>
      <w:lvlText w:val="%8"/>
      <w:lvlJc w:val="left"/>
      <w:pPr>
        <w:ind w:left="6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04B234">
      <w:start w:val="1"/>
      <w:numFmt w:val="lowerRoman"/>
      <w:lvlText w:val="%9"/>
      <w:lvlJc w:val="left"/>
      <w:pPr>
        <w:ind w:left="7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C643599"/>
    <w:multiLevelType w:val="hybridMultilevel"/>
    <w:tmpl w:val="DFA8AE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01042"/>
    <w:multiLevelType w:val="hybridMultilevel"/>
    <w:tmpl w:val="D348F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B0BF8"/>
    <w:multiLevelType w:val="hybridMultilevel"/>
    <w:tmpl w:val="C4B6E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76CED"/>
    <w:multiLevelType w:val="hybridMultilevel"/>
    <w:tmpl w:val="DFA8AE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63BF8"/>
    <w:multiLevelType w:val="hybridMultilevel"/>
    <w:tmpl w:val="DFA8AE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570A1"/>
    <w:multiLevelType w:val="hybridMultilevel"/>
    <w:tmpl w:val="32E00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A44B5"/>
    <w:multiLevelType w:val="multilevel"/>
    <w:tmpl w:val="1A9AC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46125C"/>
    <w:multiLevelType w:val="hybridMultilevel"/>
    <w:tmpl w:val="20C6D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404D1C"/>
    <w:multiLevelType w:val="hybridMultilevel"/>
    <w:tmpl w:val="CE9E2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E7547C"/>
    <w:multiLevelType w:val="hybridMultilevel"/>
    <w:tmpl w:val="DFA8AE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540044">
    <w:abstractNumId w:val="23"/>
  </w:num>
  <w:num w:numId="2" w16cid:durableId="149489090">
    <w:abstractNumId w:val="3"/>
  </w:num>
  <w:num w:numId="3" w16cid:durableId="1841892029">
    <w:abstractNumId w:val="16"/>
  </w:num>
  <w:num w:numId="4" w16cid:durableId="15394699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9265964">
    <w:abstractNumId w:val="3"/>
  </w:num>
  <w:num w:numId="6" w16cid:durableId="948857263">
    <w:abstractNumId w:val="1"/>
  </w:num>
  <w:num w:numId="7" w16cid:durableId="1671447188">
    <w:abstractNumId w:val="0"/>
  </w:num>
  <w:num w:numId="8" w16cid:durableId="1606309177">
    <w:abstractNumId w:val="9"/>
  </w:num>
  <w:num w:numId="9" w16cid:durableId="714888999">
    <w:abstractNumId w:val="27"/>
  </w:num>
  <w:num w:numId="10" w16cid:durableId="724990488">
    <w:abstractNumId w:val="11"/>
  </w:num>
  <w:num w:numId="11" w16cid:durableId="849368870">
    <w:abstractNumId w:val="19"/>
  </w:num>
  <w:num w:numId="12" w16cid:durableId="1875580773">
    <w:abstractNumId w:val="30"/>
  </w:num>
  <w:num w:numId="13" w16cid:durableId="1177887514">
    <w:abstractNumId w:val="25"/>
  </w:num>
  <w:num w:numId="14" w16cid:durableId="290327482">
    <w:abstractNumId w:val="24"/>
  </w:num>
  <w:num w:numId="15" w16cid:durableId="1617060357">
    <w:abstractNumId w:val="21"/>
  </w:num>
  <w:num w:numId="16" w16cid:durableId="16197046">
    <w:abstractNumId w:val="22"/>
  </w:num>
  <w:num w:numId="17" w16cid:durableId="231086096">
    <w:abstractNumId w:val="14"/>
  </w:num>
  <w:num w:numId="18" w16cid:durableId="2043944263">
    <w:abstractNumId w:val="26"/>
  </w:num>
  <w:num w:numId="19" w16cid:durableId="1848204807">
    <w:abstractNumId w:val="28"/>
  </w:num>
  <w:num w:numId="20" w16cid:durableId="861817097">
    <w:abstractNumId w:val="7"/>
  </w:num>
  <w:num w:numId="21" w16cid:durableId="1689024525">
    <w:abstractNumId w:val="13"/>
  </w:num>
  <w:num w:numId="22" w16cid:durableId="375931150">
    <w:abstractNumId w:val="2"/>
  </w:num>
  <w:num w:numId="23" w16cid:durableId="1451432766">
    <w:abstractNumId w:val="20"/>
  </w:num>
  <w:num w:numId="24" w16cid:durableId="680401851">
    <w:abstractNumId w:val="17"/>
  </w:num>
  <w:num w:numId="25" w16cid:durableId="1921599919">
    <w:abstractNumId w:val="10"/>
  </w:num>
  <w:num w:numId="26" w16cid:durableId="1664746064">
    <w:abstractNumId w:val="15"/>
  </w:num>
  <w:num w:numId="27" w16cid:durableId="974142410">
    <w:abstractNumId w:val="29"/>
  </w:num>
  <w:num w:numId="28" w16cid:durableId="1651515037">
    <w:abstractNumId w:val="12"/>
  </w:num>
  <w:num w:numId="29" w16cid:durableId="1723672510">
    <w:abstractNumId w:val="18"/>
  </w:num>
  <w:num w:numId="30" w16cid:durableId="31996377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 w16cid:durableId="1339044382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2" w16cid:durableId="910503852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 w16cid:durableId="337269502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 w16cid:durableId="128326930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5" w16cid:durableId="1912080757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 w16cid:durableId="1269774868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7" w16cid:durableId="1163812496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 w16cid:durableId="42719230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9" w16cid:durableId="1091314300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0" w16cid:durableId="2013293480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1" w16cid:durableId="1445885856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2" w16cid:durableId="127020937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3" w16cid:durableId="1365326286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4" w16cid:durableId="40716342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5" w16cid:durableId="234629052">
    <w:abstractNumId w:val="5"/>
  </w:num>
  <w:num w:numId="46" w16cid:durableId="1197693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C3"/>
    <w:rsid w:val="00002194"/>
    <w:rsid w:val="00006F2B"/>
    <w:rsid w:val="00050288"/>
    <w:rsid w:val="0005293D"/>
    <w:rsid w:val="00055090"/>
    <w:rsid w:val="00070C3E"/>
    <w:rsid w:val="00087AC4"/>
    <w:rsid w:val="00095439"/>
    <w:rsid w:val="000A72D9"/>
    <w:rsid w:val="000D5D23"/>
    <w:rsid w:val="000E48B4"/>
    <w:rsid w:val="000F0644"/>
    <w:rsid w:val="000F5645"/>
    <w:rsid w:val="0010271C"/>
    <w:rsid w:val="00111DE8"/>
    <w:rsid w:val="00111E83"/>
    <w:rsid w:val="0013315A"/>
    <w:rsid w:val="00163B05"/>
    <w:rsid w:val="00171CC3"/>
    <w:rsid w:val="001732AA"/>
    <w:rsid w:val="0018204C"/>
    <w:rsid w:val="001A17A5"/>
    <w:rsid w:val="001B4744"/>
    <w:rsid w:val="001B7406"/>
    <w:rsid w:val="001C3AA0"/>
    <w:rsid w:val="001C6D04"/>
    <w:rsid w:val="001D3758"/>
    <w:rsid w:val="001D52B4"/>
    <w:rsid w:val="002068E2"/>
    <w:rsid w:val="00222323"/>
    <w:rsid w:val="00232169"/>
    <w:rsid w:val="00234EA0"/>
    <w:rsid w:val="00255C58"/>
    <w:rsid w:val="00261E9C"/>
    <w:rsid w:val="00270308"/>
    <w:rsid w:val="00282EC9"/>
    <w:rsid w:val="00284693"/>
    <w:rsid w:val="00284C10"/>
    <w:rsid w:val="0029343B"/>
    <w:rsid w:val="002B0D0F"/>
    <w:rsid w:val="002B6217"/>
    <w:rsid w:val="002C661D"/>
    <w:rsid w:val="002D7FC0"/>
    <w:rsid w:val="002F130A"/>
    <w:rsid w:val="002F4966"/>
    <w:rsid w:val="00310B8F"/>
    <w:rsid w:val="00311667"/>
    <w:rsid w:val="00320403"/>
    <w:rsid w:val="0033442B"/>
    <w:rsid w:val="00355F8A"/>
    <w:rsid w:val="00362E72"/>
    <w:rsid w:val="00366207"/>
    <w:rsid w:val="00370721"/>
    <w:rsid w:val="00372252"/>
    <w:rsid w:val="0038314B"/>
    <w:rsid w:val="00384870"/>
    <w:rsid w:val="003B405F"/>
    <w:rsid w:val="003E1B92"/>
    <w:rsid w:val="003F0AB1"/>
    <w:rsid w:val="00400AA7"/>
    <w:rsid w:val="00401E90"/>
    <w:rsid w:val="004057BB"/>
    <w:rsid w:val="00405835"/>
    <w:rsid w:val="0041548D"/>
    <w:rsid w:val="0041776D"/>
    <w:rsid w:val="004219F6"/>
    <w:rsid w:val="0043033F"/>
    <w:rsid w:val="00431B15"/>
    <w:rsid w:val="00436A19"/>
    <w:rsid w:val="00436E7B"/>
    <w:rsid w:val="00446EA0"/>
    <w:rsid w:val="00466972"/>
    <w:rsid w:val="00474DCE"/>
    <w:rsid w:val="004807F3"/>
    <w:rsid w:val="0048304F"/>
    <w:rsid w:val="00485617"/>
    <w:rsid w:val="004876ED"/>
    <w:rsid w:val="004A6CAF"/>
    <w:rsid w:val="004B711A"/>
    <w:rsid w:val="004B7D63"/>
    <w:rsid w:val="004C0821"/>
    <w:rsid w:val="004D2403"/>
    <w:rsid w:val="004E3731"/>
    <w:rsid w:val="004E3830"/>
    <w:rsid w:val="004E72C2"/>
    <w:rsid w:val="004F0D94"/>
    <w:rsid w:val="004F56DC"/>
    <w:rsid w:val="004F5EE3"/>
    <w:rsid w:val="004F6CF7"/>
    <w:rsid w:val="005027EC"/>
    <w:rsid w:val="00510459"/>
    <w:rsid w:val="005226EB"/>
    <w:rsid w:val="005372E4"/>
    <w:rsid w:val="00541A38"/>
    <w:rsid w:val="00541FB8"/>
    <w:rsid w:val="00542D9D"/>
    <w:rsid w:val="0055003C"/>
    <w:rsid w:val="00554794"/>
    <w:rsid w:val="00563F86"/>
    <w:rsid w:val="00564D9D"/>
    <w:rsid w:val="00574C5A"/>
    <w:rsid w:val="00581FB0"/>
    <w:rsid w:val="00587BC5"/>
    <w:rsid w:val="00596AA0"/>
    <w:rsid w:val="005A5076"/>
    <w:rsid w:val="005B1B78"/>
    <w:rsid w:val="005B66F8"/>
    <w:rsid w:val="005C3DC3"/>
    <w:rsid w:val="005D0A2F"/>
    <w:rsid w:val="00627E28"/>
    <w:rsid w:val="0063092D"/>
    <w:rsid w:val="006315C5"/>
    <w:rsid w:val="00644051"/>
    <w:rsid w:val="00645EAC"/>
    <w:rsid w:val="00647389"/>
    <w:rsid w:val="006502EC"/>
    <w:rsid w:val="006522B1"/>
    <w:rsid w:val="006661F8"/>
    <w:rsid w:val="00671635"/>
    <w:rsid w:val="006747AA"/>
    <w:rsid w:val="00682D71"/>
    <w:rsid w:val="006837C1"/>
    <w:rsid w:val="00686EB1"/>
    <w:rsid w:val="00690ED4"/>
    <w:rsid w:val="006C570F"/>
    <w:rsid w:val="006C791A"/>
    <w:rsid w:val="006D4720"/>
    <w:rsid w:val="006E1546"/>
    <w:rsid w:val="006E2283"/>
    <w:rsid w:val="006E7273"/>
    <w:rsid w:val="0070226E"/>
    <w:rsid w:val="00702342"/>
    <w:rsid w:val="0071688B"/>
    <w:rsid w:val="007230EC"/>
    <w:rsid w:val="0072344F"/>
    <w:rsid w:val="007301A3"/>
    <w:rsid w:val="00740D32"/>
    <w:rsid w:val="00741603"/>
    <w:rsid w:val="00742CF1"/>
    <w:rsid w:val="00760A91"/>
    <w:rsid w:val="007610DB"/>
    <w:rsid w:val="00764E03"/>
    <w:rsid w:val="007812DC"/>
    <w:rsid w:val="007A409D"/>
    <w:rsid w:val="007B4386"/>
    <w:rsid w:val="007C25F4"/>
    <w:rsid w:val="007C5A44"/>
    <w:rsid w:val="007E38D8"/>
    <w:rsid w:val="007F4F63"/>
    <w:rsid w:val="00804C2A"/>
    <w:rsid w:val="00811596"/>
    <w:rsid w:val="008169B9"/>
    <w:rsid w:val="008241D3"/>
    <w:rsid w:val="00827A7B"/>
    <w:rsid w:val="00832A58"/>
    <w:rsid w:val="00833D5F"/>
    <w:rsid w:val="00834861"/>
    <w:rsid w:val="00835DAB"/>
    <w:rsid w:val="00883B3D"/>
    <w:rsid w:val="00892F25"/>
    <w:rsid w:val="008B38E2"/>
    <w:rsid w:val="008D39C3"/>
    <w:rsid w:val="008D3BB4"/>
    <w:rsid w:val="008E134A"/>
    <w:rsid w:val="008E1C8A"/>
    <w:rsid w:val="008F1491"/>
    <w:rsid w:val="008F3574"/>
    <w:rsid w:val="008F6DA5"/>
    <w:rsid w:val="0090595D"/>
    <w:rsid w:val="0092568E"/>
    <w:rsid w:val="00930C83"/>
    <w:rsid w:val="00934560"/>
    <w:rsid w:val="00944973"/>
    <w:rsid w:val="009551AB"/>
    <w:rsid w:val="00962F45"/>
    <w:rsid w:val="00967F85"/>
    <w:rsid w:val="00977B41"/>
    <w:rsid w:val="009815F3"/>
    <w:rsid w:val="0098253C"/>
    <w:rsid w:val="00984FC0"/>
    <w:rsid w:val="00986A9B"/>
    <w:rsid w:val="009A1FD0"/>
    <w:rsid w:val="009A65B2"/>
    <w:rsid w:val="009B2EC7"/>
    <w:rsid w:val="009C1F2E"/>
    <w:rsid w:val="009C2524"/>
    <w:rsid w:val="009C7DD7"/>
    <w:rsid w:val="009E5E17"/>
    <w:rsid w:val="009F51BE"/>
    <w:rsid w:val="009F7E38"/>
    <w:rsid w:val="00A05151"/>
    <w:rsid w:val="00A06D28"/>
    <w:rsid w:val="00A11D07"/>
    <w:rsid w:val="00A46203"/>
    <w:rsid w:val="00A510FE"/>
    <w:rsid w:val="00A52B40"/>
    <w:rsid w:val="00A653B4"/>
    <w:rsid w:val="00A74550"/>
    <w:rsid w:val="00A77887"/>
    <w:rsid w:val="00A8078C"/>
    <w:rsid w:val="00A85AC1"/>
    <w:rsid w:val="00A862D2"/>
    <w:rsid w:val="00A9620B"/>
    <w:rsid w:val="00AA09A0"/>
    <w:rsid w:val="00AB1732"/>
    <w:rsid w:val="00AC208E"/>
    <w:rsid w:val="00AC3D96"/>
    <w:rsid w:val="00B02432"/>
    <w:rsid w:val="00B125DE"/>
    <w:rsid w:val="00B15619"/>
    <w:rsid w:val="00B23FE9"/>
    <w:rsid w:val="00B60BDE"/>
    <w:rsid w:val="00B77D2D"/>
    <w:rsid w:val="00B816C0"/>
    <w:rsid w:val="00B8376A"/>
    <w:rsid w:val="00B85E44"/>
    <w:rsid w:val="00B864D2"/>
    <w:rsid w:val="00B87B8F"/>
    <w:rsid w:val="00B945C9"/>
    <w:rsid w:val="00BA7316"/>
    <w:rsid w:val="00BB10D4"/>
    <w:rsid w:val="00BB3294"/>
    <w:rsid w:val="00BC07B2"/>
    <w:rsid w:val="00BC0C87"/>
    <w:rsid w:val="00BD3E6B"/>
    <w:rsid w:val="00BE6FAE"/>
    <w:rsid w:val="00C05623"/>
    <w:rsid w:val="00C11803"/>
    <w:rsid w:val="00C11B4C"/>
    <w:rsid w:val="00C15C77"/>
    <w:rsid w:val="00C23085"/>
    <w:rsid w:val="00C31113"/>
    <w:rsid w:val="00C3132D"/>
    <w:rsid w:val="00C3149B"/>
    <w:rsid w:val="00C5183F"/>
    <w:rsid w:val="00C523F4"/>
    <w:rsid w:val="00C715B9"/>
    <w:rsid w:val="00C71E74"/>
    <w:rsid w:val="00C82C80"/>
    <w:rsid w:val="00C84EFE"/>
    <w:rsid w:val="00C86425"/>
    <w:rsid w:val="00C9120D"/>
    <w:rsid w:val="00C95979"/>
    <w:rsid w:val="00C96407"/>
    <w:rsid w:val="00CA4636"/>
    <w:rsid w:val="00CB0EDA"/>
    <w:rsid w:val="00CB4D37"/>
    <w:rsid w:val="00CB5E28"/>
    <w:rsid w:val="00CC2B10"/>
    <w:rsid w:val="00CD2097"/>
    <w:rsid w:val="00CD610B"/>
    <w:rsid w:val="00CD64B2"/>
    <w:rsid w:val="00CD77BC"/>
    <w:rsid w:val="00CE20F1"/>
    <w:rsid w:val="00CE393E"/>
    <w:rsid w:val="00CE56FF"/>
    <w:rsid w:val="00CF0A83"/>
    <w:rsid w:val="00D001BF"/>
    <w:rsid w:val="00D0674C"/>
    <w:rsid w:val="00D13DDD"/>
    <w:rsid w:val="00D242BA"/>
    <w:rsid w:val="00D319BA"/>
    <w:rsid w:val="00D35663"/>
    <w:rsid w:val="00D41FEF"/>
    <w:rsid w:val="00D7097F"/>
    <w:rsid w:val="00D9029B"/>
    <w:rsid w:val="00DA60F8"/>
    <w:rsid w:val="00DB19EA"/>
    <w:rsid w:val="00DB4210"/>
    <w:rsid w:val="00DB428A"/>
    <w:rsid w:val="00DC0CA8"/>
    <w:rsid w:val="00DC1B0C"/>
    <w:rsid w:val="00DD1951"/>
    <w:rsid w:val="00DF38F3"/>
    <w:rsid w:val="00E1012C"/>
    <w:rsid w:val="00E15732"/>
    <w:rsid w:val="00E22BA1"/>
    <w:rsid w:val="00E36BFB"/>
    <w:rsid w:val="00E42974"/>
    <w:rsid w:val="00E51E1F"/>
    <w:rsid w:val="00E70CA5"/>
    <w:rsid w:val="00E768B3"/>
    <w:rsid w:val="00ED3544"/>
    <w:rsid w:val="00ED739E"/>
    <w:rsid w:val="00EE7D5B"/>
    <w:rsid w:val="00EF112B"/>
    <w:rsid w:val="00EF60ED"/>
    <w:rsid w:val="00F034BA"/>
    <w:rsid w:val="00F114E0"/>
    <w:rsid w:val="00F11EF3"/>
    <w:rsid w:val="00F13FFD"/>
    <w:rsid w:val="00F1578C"/>
    <w:rsid w:val="00F304BD"/>
    <w:rsid w:val="00F360A6"/>
    <w:rsid w:val="00F36C54"/>
    <w:rsid w:val="00F45E5D"/>
    <w:rsid w:val="00F524DA"/>
    <w:rsid w:val="00F52D8E"/>
    <w:rsid w:val="00F57795"/>
    <w:rsid w:val="00F57FC9"/>
    <w:rsid w:val="00F64756"/>
    <w:rsid w:val="00F94EF6"/>
    <w:rsid w:val="00F96E21"/>
    <w:rsid w:val="00FA3D8A"/>
    <w:rsid w:val="00FA4408"/>
    <w:rsid w:val="00FA7C17"/>
    <w:rsid w:val="00FB35AF"/>
    <w:rsid w:val="00FB396E"/>
    <w:rsid w:val="00FC1668"/>
    <w:rsid w:val="00FC1E7C"/>
    <w:rsid w:val="00FC2ADC"/>
    <w:rsid w:val="00FC554A"/>
    <w:rsid w:val="00FD42FF"/>
    <w:rsid w:val="00FE2ABC"/>
    <w:rsid w:val="00FE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01F0F"/>
  <w15:chartTrackingRefBased/>
  <w15:docId w15:val="{BA3DBEAA-AC70-4E0D-960D-288322D3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6F8"/>
  </w:style>
  <w:style w:type="paragraph" w:styleId="Heading1">
    <w:name w:val="heading 1"/>
    <w:basedOn w:val="Normal"/>
    <w:next w:val="Normal"/>
    <w:link w:val="Heading1Char"/>
    <w:uiPriority w:val="9"/>
    <w:qFormat/>
    <w:rsid w:val="006502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9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171CC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171CC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171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25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20F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0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60BDE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21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9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723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9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ccessdata.fda.gov/drugsatfda_docs/label/2022/761127s000lbl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yoblochcp.com/files/Myobloc-Prescribing-Information.pdf" TargetMode="External"/><Relationship Id="rId17" Type="http://schemas.openxmlformats.org/officeDocument/2006/relationships/hyperlink" Target="https://www.cms.gov/medicare/payment/part-b-drugs/asp-pricing-fil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ms.gov/medicare-coverage-database/view/article.aspx?articleId=52848&amp;LCDId=33646&amp;DocID=L33646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ailymed.nlm.nih.gov/dailymed/fda/fdaDrugXsl.cfm?setid=ccdc3aae-6e2d-4cd0-a51c-8375bfee9458&amp;type=display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ms.gov/medicare-coverage-database/view/lcd.aspx?lcdid=35172&amp;ver=68&amp;bc=0" TargetMode="External"/><Relationship Id="rId10" Type="http://schemas.openxmlformats.org/officeDocument/2006/relationships/hyperlink" Target="https://www.dysportusa.com/PI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rxabbvie.com/pdf/botox_pi.pdf" TargetMode="External"/><Relationship Id="rId14" Type="http://schemas.openxmlformats.org/officeDocument/2006/relationships/hyperlink" Target="https://www.eternalhealth.com/wp-content/uploads/2022/10/eternalHealth_MA-Part-B-PA-List-eff-1-1-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3728796F1AF49AA5EE7049D0CA2DC" ma:contentTypeVersion="14" ma:contentTypeDescription="Create a new document." ma:contentTypeScope="" ma:versionID="65de5af41dbab921a85d81f10df3da20">
  <xsd:schema xmlns:xsd="http://www.w3.org/2001/XMLSchema" xmlns:xs="http://www.w3.org/2001/XMLSchema" xmlns:p="http://schemas.microsoft.com/office/2006/metadata/properties" xmlns:ns2="febe0462-7ad9-4cf3-8274-aa0cc4f080f3" xmlns:ns3="2498f20f-782f-4f87-afd5-421022d6a89d" targetNamespace="http://schemas.microsoft.com/office/2006/metadata/properties" ma:root="true" ma:fieldsID="0bf25b7367e3d42f5cee4169929b16ed" ns2:_="" ns3:_="">
    <xsd:import namespace="febe0462-7ad9-4cf3-8274-aa0cc4f080f3"/>
    <xsd:import namespace="2498f20f-782f-4f87-afd5-421022d6a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e0462-7ad9-4cf3-8274-aa0cc4f08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46684a-a19c-4d21-91c6-41048820a2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8f20f-782f-4f87-afd5-421022d6a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a65e6f0-0859-4a49-ae1b-b418d9cfe567}" ma:internalName="TaxCatchAll" ma:showField="CatchAllData" ma:web="2498f20f-782f-4f87-afd5-421022d6a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e0462-7ad9-4cf3-8274-aa0cc4f080f3">
      <Terms xmlns="http://schemas.microsoft.com/office/infopath/2007/PartnerControls"/>
    </lcf76f155ced4ddcb4097134ff3c332f>
    <TaxCatchAll xmlns="2498f20f-782f-4f87-afd5-421022d6a89d" xsi:nil="true"/>
  </documentManagement>
</p:properties>
</file>

<file path=customXml/itemProps1.xml><?xml version="1.0" encoding="utf-8"?>
<ds:datastoreItem xmlns:ds="http://schemas.openxmlformats.org/officeDocument/2006/customXml" ds:itemID="{3ED9520D-6722-4BD1-9DAC-0F7F6FDFA018}"/>
</file>

<file path=customXml/itemProps2.xml><?xml version="1.0" encoding="utf-8"?>
<ds:datastoreItem xmlns:ds="http://schemas.openxmlformats.org/officeDocument/2006/customXml" ds:itemID="{89D7D37D-E0D8-46F7-BEDF-FFBFBD885B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CF4EE-56B7-4BC8-9965-1CCC54DC16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4ba3640-328d-449a-9f7d-a6e0f48b18e2"/>
    <ds:schemaRef ds:uri="8a5f5284-53ab-4ff8-b83a-40cadec04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2366</Words>
  <Characters>13490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Cardinal</dc:creator>
  <cp:keywords/>
  <dc:description/>
  <cp:lastModifiedBy>John Vellutato</cp:lastModifiedBy>
  <cp:revision>4</cp:revision>
  <dcterms:created xsi:type="dcterms:W3CDTF">2025-04-09T14:01:00Z</dcterms:created>
  <dcterms:modified xsi:type="dcterms:W3CDTF">2025-07-28T19:19:00Z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0x0101004673728796F1AF49AA5EE7049D0CA2DC</vt:lpwstr>
  </property>
</Properties>
</file>