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E23" w14:textId="739D08A7" w:rsidR="00682D71" w:rsidRDefault="00171CC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61DFF5" wp14:editId="6318911E">
            <wp:simplePos x="0" y="0"/>
            <wp:positionH relativeFrom="column">
              <wp:posOffset>1060704</wp:posOffset>
            </wp:positionH>
            <wp:positionV relativeFrom="paragraph">
              <wp:posOffset>17290</wp:posOffset>
            </wp:positionV>
            <wp:extent cx="3721100" cy="644869"/>
            <wp:effectExtent l="0" t="0" r="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6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36E08" w14:textId="77777777" w:rsidR="00171CC3" w:rsidRPr="00171CC3" w:rsidRDefault="00171CC3" w:rsidP="00171CC3"/>
    <w:p w14:paraId="45427FC3" w14:textId="77777777" w:rsidR="00171CC3" w:rsidRPr="00A95390" w:rsidRDefault="00171CC3" w:rsidP="00171CC3">
      <w:pPr>
        <w:widowControl w:val="0"/>
        <w:autoSpaceDE w:val="0"/>
        <w:autoSpaceDN w:val="0"/>
        <w:spacing w:before="40" w:line="305" w:lineRule="auto"/>
        <w:ind w:right="432"/>
        <w:rPr>
          <w:rFonts w:ascii="Montserrat" w:eastAsia="Calibri" w:hAnsi="Montserrat" w:cs="Calibri"/>
          <w:color w:val="4A9EFF"/>
          <w:sz w:val="44"/>
          <w:szCs w:val="54"/>
          <w:lang w:bidi="en-US"/>
        </w:rPr>
      </w:pPr>
      <w:r w:rsidRPr="00A95390">
        <w:rPr>
          <w:rFonts w:ascii="Montserrat" w:eastAsia="Calibri" w:hAnsi="Montserrat" w:cs="Calibr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94559" wp14:editId="12363257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591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C45EC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26.45pt" to="880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p w14:paraId="232C432B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Times New Roman"/>
          <w:color w:val="00AEDB"/>
          <w:sz w:val="24"/>
          <w:szCs w:val="24"/>
        </w:rPr>
      </w:pPr>
    </w:p>
    <w:p w14:paraId="74198E9A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171CC3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Policy and Procedure </w:t>
      </w:r>
    </w:p>
    <w:p w14:paraId="13809CD0" w14:textId="6261AF74" w:rsidR="00171CC3" w:rsidRPr="00171CC3" w:rsidRDefault="000279A1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Pemetrexed</w:t>
      </w:r>
    </w:p>
    <w:p w14:paraId="480C9C92" w14:textId="3E698CD1" w:rsidR="00171CC3" w:rsidRPr="005226EB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POLICY #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B26E82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UMST-4</w:t>
      </w:r>
    </w:p>
    <w:p w14:paraId="26DF720B" w14:textId="3A97F0F8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Version: </w:t>
      </w:r>
      <w:r w:rsidR="00E15732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1</w:t>
      </w:r>
      <w:r w:rsidR="001A17A5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.0</w:t>
      </w:r>
      <w:r w:rsidR="00C11B4C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</w:p>
    <w:p w14:paraId="6526E423" w14:textId="77777777" w:rsidR="00171CC3" w:rsidRDefault="00171CC3" w:rsidP="00171CC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color w:val="4A9EFF"/>
          <w:sz w:val="24"/>
          <w:szCs w:val="24"/>
          <w:lang w:bidi="en-US"/>
        </w:rPr>
      </w:pPr>
    </w:p>
    <w:p w14:paraId="712B0DD6" w14:textId="77777777" w:rsidR="00320403" w:rsidRDefault="00171CC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 w:rsidRPr="00171CC3">
        <w:rPr>
          <w:rFonts w:ascii="Futura" w:eastAsia="Calibri" w:hAnsi="Futura" w:cs="Calibri"/>
          <w:noProof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5E043" wp14:editId="61E94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18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D03DF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6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1890"/>
        <w:gridCol w:w="2945"/>
      </w:tblGrid>
      <w:tr w:rsidR="00320403" w14:paraId="0538398F" w14:textId="77777777" w:rsidTr="00320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BECC85" w14:textId="77777777" w:rsidR="00320403" w:rsidRPr="00E15732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 w:rsidRPr="00E15732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Binder: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2CD696" w14:textId="69ED17A6" w:rsidR="00320403" w:rsidRDefault="00B26E82" w:rsidP="00CD77BC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311E06" w14:textId="77777777" w:rsidR="00320403" w:rsidRDefault="00320403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Department: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598461" w14:textId="7076B979" w:rsidR="00320403" w:rsidRDefault="00D001B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Medical Management-UM</w:t>
            </w:r>
          </w:p>
        </w:tc>
      </w:tr>
      <w:tr w:rsidR="00320403" w14:paraId="5988EF9A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04DEE4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Policy Contact: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E7C508" w14:textId="162A8390" w:rsidR="00320403" w:rsidRDefault="00B26E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VP Pharmacy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7E7C54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Effective Date: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7473BD" w14:textId="77BF1EF4" w:rsidR="00320403" w:rsidRDefault="00675C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1</w:t>
            </w:r>
            <w:r w:rsidR="00D001BF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/1/2</w:t>
            </w: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6</w:t>
            </w:r>
          </w:p>
        </w:tc>
      </w:tr>
      <w:tr w:rsidR="00320403" w14:paraId="0E783544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5CCDE5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Date Last Reviewed: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53BA10" w14:textId="4EAF7391" w:rsidR="00320403" w:rsidRDefault="00320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15B2A2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Date of Policy Committee Approval: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72BAE2" w14:textId="0C145934" w:rsidR="00320403" w:rsidRPr="001A17A5" w:rsidRDefault="00320403" w:rsidP="001A17A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34A017EB" w14:textId="77777777" w:rsidR="00320403" w:rsidRDefault="00320403" w:rsidP="0032040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b/>
          <w:bCs/>
          <w:color w:val="4A9EFF"/>
          <w:sz w:val="24"/>
          <w:szCs w:val="24"/>
          <w:lang w:bidi="en-US"/>
        </w:rPr>
      </w:pPr>
    </w:p>
    <w:tbl>
      <w:tblPr>
        <w:tblStyle w:val="TableGrid1"/>
        <w:tblW w:w="9345" w:type="dxa"/>
        <w:tblBorders>
          <w:top w:val="single" w:sz="12" w:space="0" w:color="A5A5A5"/>
          <w:left w:val="single" w:sz="12" w:space="0" w:color="A5A5A5"/>
          <w:bottom w:val="single" w:sz="12" w:space="0" w:color="A5A5A5"/>
          <w:right w:val="single" w:sz="12" w:space="0" w:color="A5A5A5"/>
          <w:insideH w:val="single" w:sz="12" w:space="0" w:color="A5A5A5"/>
          <w:insideV w:val="single" w:sz="12" w:space="0" w:color="A5A5A5"/>
        </w:tblBorders>
        <w:tblLook w:val="04A0" w:firstRow="1" w:lastRow="0" w:firstColumn="1" w:lastColumn="0" w:noHBand="0" w:noVBand="1"/>
      </w:tblPr>
      <w:tblGrid>
        <w:gridCol w:w="1546"/>
        <w:gridCol w:w="2510"/>
        <w:gridCol w:w="1880"/>
        <w:gridCol w:w="3409"/>
      </w:tblGrid>
      <w:tr w:rsidR="00320403" w14:paraId="47A77D58" w14:textId="77777777" w:rsidTr="00320403">
        <w:tc>
          <w:tcPr>
            <w:tcW w:w="9345" w:type="dxa"/>
            <w:gridSpan w:val="4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CC25E45" w14:textId="77777777" w:rsidR="00320403" w:rsidRDefault="00320403">
            <w:pPr>
              <w:widowControl w:val="0"/>
              <w:autoSpaceDE w:val="0"/>
              <w:autoSpaceDN w:val="0"/>
              <w:jc w:val="center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Revision/Approval History</w:t>
            </w:r>
          </w:p>
        </w:tc>
      </w:tr>
      <w:tr w:rsidR="00320403" w14:paraId="02459072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F80719B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Date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D9342F0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157BE64E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Title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4D3EEE37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Description</w:t>
            </w:r>
          </w:p>
        </w:tc>
      </w:tr>
      <w:tr w:rsidR="00320403" w14:paraId="67145A51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1C31E6F" w14:textId="12AC6C45" w:rsidR="00320403" w:rsidRDefault="00B26E8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5736AEE" w14:textId="40E4F33F" w:rsidR="00320403" w:rsidRDefault="00E768B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Policy &amp; Procedure Committee 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7DA1ECD" w14:textId="4ABF3F38" w:rsidR="00320403" w:rsidRDefault="00B26E8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5DC7F81" w14:textId="45489438" w:rsidR="00320403" w:rsidRDefault="00CB5E2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New policy. </w:t>
            </w:r>
          </w:p>
        </w:tc>
      </w:tr>
      <w:tr w:rsidR="00320403" w14:paraId="7973D708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2D9C931" w14:textId="6B29B6AA" w:rsidR="00320403" w:rsidRDefault="00B26E8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80828A1" w14:textId="6EDBA87C" w:rsidR="00320403" w:rsidRDefault="00B26E8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C0B7B6E" w14:textId="4805D46C" w:rsidR="00320403" w:rsidRDefault="00B26E8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F8B2E15" w14:textId="2CBE14EA" w:rsidR="00320403" w:rsidRDefault="00B26E8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New policy</w:t>
            </w:r>
          </w:p>
        </w:tc>
      </w:tr>
      <w:tr w:rsidR="00675C85" w14:paraId="624B07CA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0138A1A4" w14:textId="16CF32A6" w:rsidR="00675C85" w:rsidRDefault="00675C8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8/4/25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49DC879" w14:textId="1BB4230F" w:rsidR="00675C85" w:rsidRDefault="00675C8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420B720" w14:textId="2036F5BE" w:rsidR="00675C85" w:rsidRDefault="00675C8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Review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61E4507" w14:textId="77777777" w:rsidR="00675C85" w:rsidRDefault="00675C85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67C7852D" w14:textId="77777777" w:rsidR="00320403" w:rsidRDefault="00320403" w:rsidP="00320403">
      <w:pPr>
        <w:spacing w:after="0" w:line="240" w:lineRule="auto"/>
        <w:jc w:val="center"/>
        <w:rPr>
          <w:rFonts w:ascii="Futura" w:hAnsi="Futura"/>
          <w:color w:val="00AEDB"/>
          <w:sz w:val="24"/>
          <w:szCs w:val="24"/>
        </w:rPr>
      </w:pPr>
    </w:p>
    <w:p w14:paraId="6C4CF2DA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Policy:</w:t>
      </w:r>
    </w:p>
    <w:p w14:paraId="2ECE6697" w14:textId="164DFCC8" w:rsidR="00B60BDE" w:rsidRDefault="00B60BD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3E7F185" w14:textId="4D1B740B" w:rsidR="00581FB0" w:rsidRDefault="004F5EE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This policy stands to show the criteria for and preferencing of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within the therapeutic class of </w:t>
      </w:r>
      <w:r w:rsidR="000F732B">
        <w:rPr>
          <w:rFonts w:ascii="Futura" w:eastAsia="Calibri" w:hAnsi="Futura" w:cs="Calibri"/>
          <w:color w:val="000000"/>
          <w:sz w:val="20"/>
          <w:szCs w:val="20"/>
          <w:lang w:bidi="en-US"/>
        </w:rPr>
        <w:t>Antineoplastic-</w:t>
      </w:r>
      <w:r w:rsidR="009F1A1D">
        <w:rPr>
          <w:rFonts w:ascii="Futura" w:eastAsia="Calibri" w:hAnsi="Futura" w:cs="Calibri"/>
          <w:color w:val="000000"/>
          <w:sz w:val="20"/>
          <w:szCs w:val="20"/>
          <w:lang w:bidi="en-US"/>
        </w:rPr>
        <w:t>Antimetabolite-Folic Acid Analogs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At the time of creation of this policy, there are </w:t>
      </w:r>
      <w:r w:rsidR="009F1A1D">
        <w:rPr>
          <w:rFonts w:ascii="Futura" w:eastAsia="Calibri" w:hAnsi="Futura" w:cs="Calibri"/>
          <w:color w:val="000000"/>
          <w:sz w:val="20"/>
          <w:szCs w:val="20"/>
          <w:lang w:bidi="en-US"/>
        </w:rPr>
        <w:t>three</w:t>
      </w:r>
      <w:r w:rsidR="004B7D6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to be reviewed: </w:t>
      </w:r>
      <w:r w:rsidR="00E7571F">
        <w:rPr>
          <w:rFonts w:ascii="Futura" w:eastAsia="Calibri" w:hAnsi="Futura" w:cs="Calibri"/>
          <w:color w:val="000000"/>
          <w:sz w:val="20"/>
          <w:szCs w:val="20"/>
          <w:lang w:bidi="en-US"/>
        </w:rPr>
        <w:t>Inj. Pemetrexed 10 mg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r w:rsidR="00E7571F">
        <w:rPr>
          <w:rFonts w:ascii="Futura" w:eastAsia="Calibri" w:hAnsi="Futura" w:cs="Calibri"/>
          <w:color w:val="000000"/>
          <w:sz w:val="20"/>
          <w:szCs w:val="20"/>
          <w:lang w:bidi="en-US"/>
        </w:rPr>
        <w:t>(Alimpta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)</w:t>
      </w:r>
      <w:r w:rsidR="00CE393E">
        <w:rPr>
          <w:rFonts w:ascii="Futura" w:eastAsia="Calibri" w:hAnsi="Futura" w:cs="Calibri"/>
          <w:color w:val="000000"/>
          <w:sz w:val="20"/>
          <w:szCs w:val="20"/>
          <w:lang w:bidi="en-US"/>
        </w:rPr>
        <w:t>- J</w:t>
      </w:r>
      <w:r w:rsidR="00E7571F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9294, </w:t>
      </w:r>
      <w:r w:rsidR="00951AED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J9296, </w:t>
      </w:r>
      <w:r w:rsidR="00E7571F">
        <w:rPr>
          <w:rFonts w:ascii="Futura" w:eastAsia="Calibri" w:hAnsi="Futura" w:cs="Calibri"/>
          <w:color w:val="000000"/>
          <w:sz w:val="20"/>
          <w:szCs w:val="20"/>
          <w:lang w:bidi="en-US"/>
        </w:rPr>
        <w:t>J9297, J</w:t>
      </w:r>
      <w:r w:rsidR="00951AED">
        <w:rPr>
          <w:rFonts w:ascii="Futura" w:eastAsia="Calibri" w:hAnsi="Futura" w:cs="Calibri"/>
          <w:color w:val="000000"/>
          <w:sz w:val="20"/>
          <w:szCs w:val="20"/>
          <w:lang w:bidi="en-US"/>
        </w:rPr>
        <w:t>9305, J9314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,</w:t>
      </w:r>
      <w:r w:rsidR="00D51E3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J9322</w:t>
      </w:r>
      <w:r w:rsidR="00645D2E">
        <w:rPr>
          <w:rFonts w:ascii="Futura" w:eastAsia="Calibri" w:hAnsi="Futura" w:cs="Calibri"/>
          <w:color w:val="000000"/>
          <w:sz w:val="20"/>
          <w:szCs w:val="20"/>
          <w:lang w:bidi="en-US"/>
        </w:rPr>
        <w:t>, J9292, J9323</w:t>
      </w:r>
      <w:r w:rsidR="00D51E36">
        <w:rPr>
          <w:rFonts w:ascii="Futura" w:eastAsia="Calibri" w:hAnsi="Futura" w:cs="Calibri"/>
          <w:color w:val="000000"/>
          <w:sz w:val="20"/>
          <w:szCs w:val="20"/>
          <w:lang w:bidi="en-US"/>
        </w:rPr>
        <w:t>, Inj. Pemetrexed, 10 mg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(</w:t>
      </w:r>
      <w:r w:rsidR="00CE1A71">
        <w:rPr>
          <w:rFonts w:ascii="Futura" w:eastAsia="Calibri" w:hAnsi="Futura" w:cs="Calibri"/>
          <w:color w:val="000000"/>
          <w:sz w:val="20"/>
          <w:szCs w:val="20"/>
          <w:lang w:bidi="en-US"/>
        </w:rPr>
        <w:t>Pemfexy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)</w:t>
      </w:r>
      <w:r w:rsidR="00CE393E">
        <w:rPr>
          <w:rFonts w:ascii="Futura" w:eastAsia="Calibri" w:hAnsi="Futura" w:cs="Calibri"/>
          <w:color w:val="000000"/>
          <w:sz w:val="20"/>
          <w:szCs w:val="20"/>
          <w:lang w:bidi="en-US"/>
        </w:rPr>
        <w:t>- J</w:t>
      </w:r>
      <w:r w:rsidR="00CE1A71">
        <w:rPr>
          <w:rFonts w:ascii="Futura" w:eastAsia="Calibri" w:hAnsi="Futura" w:cs="Calibri"/>
          <w:color w:val="000000"/>
          <w:sz w:val="20"/>
          <w:szCs w:val="20"/>
          <w:lang w:bidi="en-US"/>
        </w:rPr>
        <w:t>9304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, </w:t>
      </w:r>
      <w:r w:rsidR="00CE1A71">
        <w:rPr>
          <w:rFonts w:ascii="Futura" w:eastAsia="Calibri" w:hAnsi="Futura" w:cs="Calibri"/>
          <w:color w:val="000000"/>
          <w:sz w:val="20"/>
          <w:szCs w:val="20"/>
          <w:lang w:bidi="en-US"/>
        </w:rPr>
        <w:t>Inj. Pem</w:t>
      </w:r>
      <w:r w:rsidR="00CF2CDC">
        <w:rPr>
          <w:rFonts w:ascii="Futura" w:eastAsia="Calibri" w:hAnsi="Futura" w:cs="Calibri"/>
          <w:color w:val="000000"/>
          <w:sz w:val="20"/>
          <w:szCs w:val="20"/>
          <w:lang w:bidi="en-US"/>
        </w:rPr>
        <w:t>rydi</w:t>
      </w:r>
      <w:r w:rsidR="000C080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r w:rsidR="00CF2CDC">
        <w:rPr>
          <w:rFonts w:ascii="Futura" w:eastAsia="Calibri" w:hAnsi="Futura" w:cs="Calibri"/>
          <w:color w:val="000000"/>
          <w:sz w:val="20"/>
          <w:szCs w:val="20"/>
          <w:lang w:bidi="en-US"/>
        </w:rPr>
        <w:t>rtu</w:t>
      </w:r>
      <w:r w:rsidR="00CE1A71">
        <w:rPr>
          <w:rFonts w:ascii="Futura" w:eastAsia="Calibri" w:hAnsi="Futura" w:cs="Calibri"/>
          <w:color w:val="000000"/>
          <w:sz w:val="20"/>
          <w:szCs w:val="20"/>
          <w:lang w:bidi="en-US"/>
        </w:rPr>
        <w:t>, 10 mg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(</w:t>
      </w:r>
      <w:r w:rsidR="00CE1A71">
        <w:rPr>
          <w:rFonts w:ascii="Futura" w:eastAsia="Calibri" w:hAnsi="Futura" w:cs="Calibri"/>
          <w:color w:val="000000"/>
          <w:sz w:val="20"/>
          <w:szCs w:val="20"/>
          <w:lang w:bidi="en-US"/>
        </w:rPr>
        <w:t>Pemrydi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>)</w:t>
      </w:r>
      <w:r w:rsidR="00CE393E">
        <w:rPr>
          <w:rFonts w:ascii="Futura" w:eastAsia="Calibri" w:hAnsi="Futura" w:cs="Calibri"/>
          <w:color w:val="000000"/>
          <w:sz w:val="20"/>
          <w:szCs w:val="20"/>
          <w:lang w:bidi="en-US"/>
        </w:rPr>
        <w:t>- J</w:t>
      </w:r>
      <w:r w:rsidR="000C0804">
        <w:rPr>
          <w:rFonts w:ascii="Futura" w:eastAsia="Calibri" w:hAnsi="Futura" w:cs="Calibri"/>
          <w:color w:val="000000"/>
          <w:sz w:val="20"/>
          <w:szCs w:val="20"/>
          <w:lang w:bidi="en-US"/>
        </w:rPr>
        <w:t>9324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The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review includes review of product package inserts for </w:t>
      </w:r>
      <w:r w:rsidR="0022232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FDA approved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indications and limitations, ASP pricing files updated quarterly, 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any external evidence available through CMS approved compendia, NCD/LCD information</w:t>
      </w:r>
      <w:r w:rsidR="0029343B">
        <w:rPr>
          <w:rFonts w:ascii="Futura" w:eastAsia="Calibri" w:hAnsi="Futura" w:cs="Calibri"/>
          <w:color w:val="000000"/>
          <w:sz w:val="20"/>
          <w:szCs w:val="20"/>
          <w:lang w:bidi="en-US"/>
        </w:rPr>
        <w:t>, and the approved system used for clinical direction of the Utilization Management team</w:t>
      </w:r>
      <w:r w:rsidR="00006F2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for agents on the eternalHealth Medicare Part B Prior Auth list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.  T</w:t>
      </w:r>
      <w:r w:rsidR="00A85AC1">
        <w:rPr>
          <w:rFonts w:ascii="Futura" w:eastAsia="Calibri" w:hAnsi="Futura" w:cs="Calibri"/>
          <w:color w:val="000000"/>
          <w:sz w:val="20"/>
          <w:szCs w:val="20"/>
          <w:lang w:bidi="en-US"/>
        </w:rPr>
        <w:t>his information combined with a wholistic review of the members’ clinical profile will allow the eternalHealth team to arrive at a decision of clinical appropriateness and is not a guarantee of payment.</w:t>
      </w:r>
    </w:p>
    <w:p w14:paraId="7962C7E4" w14:textId="77777777" w:rsidR="00581FB0" w:rsidRDefault="00581FB0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3E10CF7" w14:textId="77777777" w:rsidR="0043785C" w:rsidRDefault="0043785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AE3ED75" w14:textId="77777777" w:rsidR="0043785C" w:rsidRDefault="0043785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EABE47B" w14:textId="77777777" w:rsidR="0043785C" w:rsidRDefault="0043785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796D775" w14:textId="77777777" w:rsidR="0043785C" w:rsidRDefault="0043785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E2AC092" w14:textId="77777777" w:rsidR="0043785C" w:rsidRDefault="0043785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C79C9C4" w14:textId="77777777" w:rsidR="0043785C" w:rsidRDefault="0043785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95DA37E" w14:textId="77777777" w:rsidR="0043785C" w:rsidRDefault="0043785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D83F0B1" w14:textId="77777777" w:rsidR="0043785C" w:rsidRDefault="0043785C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5847C1A" w14:textId="77777777" w:rsidR="00E720FB" w:rsidRDefault="00E720FB" w:rsidP="00E720FB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Summary:</w:t>
      </w:r>
    </w:p>
    <w:p w14:paraId="4699AAC4" w14:textId="77777777" w:rsidR="00E720FB" w:rsidRDefault="00E720FB" w:rsidP="00E720FB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1038F952" w14:textId="77777777" w:rsidR="00E720FB" w:rsidRDefault="00E720FB" w:rsidP="00E720FB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All agents injected in the office will require prior authorization review for medical necessity</w:t>
      </w:r>
    </w:p>
    <w:p w14:paraId="024F4320" w14:textId="501B7111" w:rsidR="00E720FB" w:rsidRDefault="00553F72" w:rsidP="00E720FB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the request is for Alimta or a generic version of </w:t>
      </w:r>
      <w:r w:rsidR="00946CE1">
        <w:rPr>
          <w:rFonts w:ascii="Futura" w:hAnsi="Futura"/>
          <w:b/>
          <w:bCs/>
          <w:color w:val="00AEDB"/>
          <w:sz w:val="24"/>
          <w:szCs w:val="24"/>
        </w:rPr>
        <w:t>pemetrexed and determined to be medically necessary, it may be approved</w:t>
      </w:r>
    </w:p>
    <w:p w14:paraId="2E973F94" w14:textId="50672659" w:rsidR="00946CE1" w:rsidRDefault="00946CE1" w:rsidP="00E720FB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If the request is for Pemfexy</w:t>
      </w:r>
      <w:r w:rsidR="0006551D">
        <w:rPr>
          <w:rFonts w:ascii="Futura" w:hAnsi="Futura"/>
          <w:b/>
          <w:bCs/>
          <w:color w:val="00AEDB"/>
          <w:sz w:val="24"/>
          <w:szCs w:val="24"/>
        </w:rPr>
        <w:t xml:space="preserve">, </w:t>
      </w:r>
      <w:r>
        <w:rPr>
          <w:rFonts w:ascii="Futura" w:hAnsi="Futura"/>
          <w:b/>
          <w:bCs/>
          <w:color w:val="00AEDB"/>
          <w:sz w:val="24"/>
          <w:szCs w:val="24"/>
        </w:rPr>
        <w:t>or Pemrydi RTU</w:t>
      </w:r>
      <w:r w:rsidR="00B03A11">
        <w:rPr>
          <w:rFonts w:ascii="Futura" w:hAnsi="Futura"/>
          <w:b/>
          <w:bCs/>
          <w:color w:val="00AEDB"/>
          <w:sz w:val="24"/>
          <w:szCs w:val="24"/>
        </w:rPr>
        <w:t xml:space="preserve"> there must be a history of Alimta or generic pemetrexed documented in the medical record</w:t>
      </w:r>
      <w:r w:rsidR="005C2258">
        <w:rPr>
          <w:rFonts w:ascii="Futura" w:hAnsi="Futura"/>
          <w:b/>
          <w:bCs/>
          <w:color w:val="00AEDB"/>
          <w:sz w:val="24"/>
          <w:szCs w:val="24"/>
        </w:rPr>
        <w:t xml:space="preserve"> and the lack of clinical response to those agents</w:t>
      </w:r>
    </w:p>
    <w:p w14:paraId="35CED92C" w14:textId="77777777" w:rsidR="00E720FB" w:rsidRDefault="00E720FB" w:rsidP="00E720FB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An exception to step therapy will be considered if:</w:t>
      </w:r>
    </w:p>
    <w:p w14:paraId="5B6E4FD1" w14:textId="77777777" w:rsidR="00E720FB" w:rsidRPr="00732065" w:rsidRDefault="00E720FB" w:rsidP="00E720FB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There is specific 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documentation of inadequate response, contraindication, adverse event or otherwise </w:t>
      </w:r>
      <w:r>
        <w:rPr>
          <w:rFonts w:ascii="Futura" w:hAnsi="Futura"/>
          <w:b/>
          <w:bCs/>
          <w:color w:val="00AEDB"/>
          <w:sz w:val="24"/>
          <w:szCs w:val="24"/>
        </w:rPr>
        <w:t>d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>emonstrated for a preferred agent if requesting a secondary agent, and for preferred and secondary agents if requesting a tertiary agent.</w:t>
      </w:r>
    </w:p>
    <w:p w14:paraId="31F8E5CF" w14:textId="296FB307" w:rsidR="00E720FB" w:rsidRDefault="00E720FB" w:rsidP="00E720FB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Request contains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documentation of a continuation of therapy within the past </w:t>
      </w:r>
      <w:r w:rsidR="008A0AC9">
        <w:rPr>
          <w:rFonts w:ascii="Futura" w:hAnsi="Futura"/>
          <w:b/>
          <w:bCs/>
          <w:color w:val="00AEDB"/>
          <w:sz w:val="24"/>
          <w:szCs w:val="24"/>
        </w:rPr>
        <w:t>365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days (if new) or if it is a reauthorization request.</w:t>
      </w:r>
    </w:p>
    <w:p w14:paraId="4DEF43C5" w14:textId="77777777" w:rsidR="0043785C" w:rsidRPr="00732065" w:rsidRDefault="0043785C" w:rsidP="0043785C">
      <w:pPr>
        <w:pStyle w:val="ListParagraph"/>
        <w:spacing w:after="0" w:line="240" w:lineRule="auto"/>
        <w:ind w:left="1440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5D3641BB" w14:textId="34950AB8" w:rsidR="00E720FB" w:rsidRDefault="00E720FB" w:rsidP="00E720FB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732065">
        <w:rPr>
          <w:rFonts w:ascii="Futura" w:hAnsi="Futura"/>
          <w:b/>
          <w:bCs/>
          <w:color w:val="00AEDB"/>
          <w:sz w:val="24"/>
          <w:szCs w:val="24"/>
        </w:rPr>
        <w:t>In either of the above situations, the product being used cannot be based on the use of samples or products provided through manufacturer patient assistance programs.</w:t>
      </w:r>
    </w:p>
    <w:p w14:paraId="140BB667" w14:textId="77777777" w:rsidR="0043785C" w:rsidRDefault="0043785C" w:rsidP="00E720FB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4D085817" w14:textId="2D9A8FD3" w:rsidR="00E42974" w:rsidRPr="0018204C" w:rsidRDefault="00E42974" w:rsidP="00554794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18204C">
        <w:rPr>
          <w:rFonts w:ascii="Futura" w:hAnsi="Futura"/>
          <w:b/>
          <w:bCs/>
          <w:color w:val="00AEDB"/>
          <w:sz w:val="24"/>
          <w:szCs w:val="24"/>
        </w:rPr>
        <w:t>Exclusions:</w:t>
      </w:r>
    </w:p>
    <w:p w14:paraId="342451C2" w14:textId="262A407B" w:rsidR="00CD610B" w:rsidRPr="00651E5A" w:rsidRDefault="00EE48E9" w:rsidP="0072344F">
      <w:pPr>
        <w:numPr>
          <w:ilvl w:val="0"/>
          <w:numId w:val="30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Requests for non-FDA approved or compendia indications will not be approved without clinical resources documented and a peer-to-peer con</w:t>
      </w:r>
      <w:r w:rsidR="00D23E08">
        <w:rPr>
          <w:rFonts w:ascii="Futura" w:eastAsia="Calibri" w:hAnsi="Futura" w:cs="Calibri"/>
          <w:color w:val="000000"/>
          <w:sz w:val="20"/>
          <w:szCs w:val="20"/>
          <w:lang w:bidi="en-US"/>
        </w:rPr>
        <w:t>sultation occurs.</w:t>
      </w:r>
    </w:p>
    <w:p w14:paraId="1D6C1138" w14:textId="77777777" w:rsidR="00DC5EC9" w:rsidRDefault="00DC5EC9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5BDFBEC" w14:textId="77777777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Preferencing:</w:t>
      </w:r>
    </w:p>
    <w:p w14:paraId="366D9618" w14:textId="3204F86E" w:rsidR="00255C58" w:rsidRPr="00CD2097" w:rsidRDefault="00255C58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Preferred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2E25DE">
        <w:rPr>
          <w:rFonts w:ascii="Futura" w:hAnsi="Futura"/>
          <w:b/>
          <w:bCs/>
          <w:sz w:val="24"/>
          <w:szCs w:val="24"/>
        </w:rPr>
        <w:t>Alimta</w:t>
      </w:r>
      <w:r w:rsidR="00141AC0">
        <w:rPr>
          <w:rFonts w:ascii="Futura" w:hAnsi="Futura"/>
          <w:b/>
          <w:bCs/>
          <w:sz w:val="24"/>
          <w:szCs w:val="24"/>
        </w:rPr>
        <w:t>, pemetrexed</w:t>
      </w:r>
    </w:p>
    <w:p w14:paraId="6E9CE643" w14:textId="47EF2C19" w:rsidR="0090595D" w:rsidRPr="00CD2097" w:rsidRDefault="0090595D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Secondary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2E25DE">
        <w:rPr>
          <w:rFonts w:ascii="Futura" w:hAnsi="Futura"/>
          <w:b/>
          <w:bCs/>
          <w:sz w:val="24"/>
          <w:szCs w:val="24"/>
        </w:rPr>
        <w:t>Pemfexy, Pemrydi</w:t>
      </w:r>
    </w:p>
    <w:p w14:paraId="25E29391" w14:textId="2523E219" w:rsidR="00320403" w:rsidRDefault="00B15619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Agents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2A83435E" w14:textId="77777777" w:rsidR="005027EC" w:rsidRDefault="005027EC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65EE4548" w14:textId="1451FEB0" w:rsidR="003E1B92" w:rsidRPr="003E1B92" w:rsidRDefault="003E1B92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HCPCS: J</w:t>
      </w:r>
      <w:r w:rsidR="00235AF9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9294</w:t>
      </w: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, </w:t>
      </w:r>
      <w:r w:rsidR="003D0020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J9296, </w:t>
      </w: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J</w:t>
      </w:r>
      <w:r w:rsidR="00235AF9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9297</w:t>
      </w: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, J</w:t>
      </w:r>
      <w:r w:rsidR="00235AF9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9304</w:t>
      </w: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, J</w:t>
      </w:r>
      <w:r w:rsidR="00235AF9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9305</w:t>
      </w:r>
      <w:r w:rsidRPr="003E1B9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, J</w:t>
      </w:r>
      <w:r w:rsidR="00235AF9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9314, </w:t>
      </w:r>
      <w:r w:rsidR="003D0020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J9322, </w:t>
      </w:r>
      <w:r w:rsidR="00235AF9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J9324</w:t>
      </w:r>
      <w:r w:rsidR="0006551D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, J9292, J9323, J</w:t>
      </w:r>
      <w:r w:rsidR="004E71A6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9305</w:t>
      </w:r>
    </w:p>
    <w:p w14:paraId="5780A820" w14:textId="000FF7A6" w:rsidR="009815F3" w:rsidRDefault="009815F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FAE1A24" w14:textId="5D2932E8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DC5EC9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ALIMTA</w:t>
      </w:r>
      <w:r w:rsidR="00DC5EC9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is a folate analog metabolic inhibitor indicated: </w:t>
      </w:r>
    </w:p>
    <w:p w14:paraId="5EEFBDD8" w14:textId="0F629D95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in combination with pembrolizumab and platinum chemotherapy, for the initial treatment of patients with metastatic non-squamous non-small cell lung cancer (NSCLC), with no EGFR or ALK genomic tumor aberrations.</w:t>
      </w:r>
    </w:p>
    <w:p w14:paraId="3D639C52" w14:textId="12D8CB6C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in combination with cisplatin for the initial treatment of patients with locally advanced or metastatic, non-squamous NSCLC.</w:t>
      </w:r>
    </w:p>
    <w:p w14:paraId="4CCC4856" w14:textId="1833E40A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as a single agent for the maintenance treatment of patients with locally advanced or metastatic, non-squamous NSCLC whose disease has not progressed after four cycles of platinum-based first-line chemotherapy.</w:t>
      </w:r>
    </w:p>
    <w:p w14:paraId="1C34DA98" w14:textId="70E771F6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as a single agent for the treatment of patients with recurrent, metastatic non-squamous, NSCLC after prior chemotherapy. Limitations of Use: ALIMTA is not indicated for the treatment of patients with squamous cell, non-small cell lung cancer.</w:t>
      </w:r>
    </w:p>
    <w:p w14:paraId="0F0D5282" w14:textId="346F6876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initial treatment, in combination with cisplatin, of patients with malignant pleural mesothelioma whose disease is unresectable or who are otherwise not candidates for curative surgery.</w:t>
      </w:r>
    </w:p>
    <w:p w14:paraId="111C2988" w14:textId="77777777" w:rsidR="0076305A" w:rsidRDefault="0076305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19D0CFB" w14:textId="445986BE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DOSAGE AND ADMINISTRATION</w:t>
      </w:r>
    </w:p>
    <w:p w14:paraId="4FBF5DD3" w14:textId="441D48AC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>• The recommended dose of ALIMTA administered with pembrolizumab and platinum chemotherapy in patients with a creatinine clearance (calculated by Cockcroft-Gault equation) of 45 mL/min or greater is 500 mg/m2 as an intravenous infusion over 10 minutes, administered after pembrolizumab and prior to platinum chemotherapy, on Day 1 of each 21-day cycle.</w:t>
      </w:r>
    </w:p>
    <w:p w14:paraId="5CB8482B" w14:textId="7FEADFA2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The recommended dose of ALIMTA, administered as a single agent or with cisplatin, in patients with creatinine clearance of 45 mL/minute or greater is 500 mg/m2 as an intravenous infusion over 10 minutes on Day 1 of each 21-day cycle.</w:t>
      </w:r>
    </w:p>
    <w:p w14:paraId="60C7BFC7" w14:textId="429F3868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Initiate folic acid 400 mcg to 1000 mcg orally, once daily, beginning 7 days prior to the first dose of ALIMTA and continue until 21 days after the last dose of ALIMTA.</w:t>
      </w:r>
    </w:p>
    <w:p w14:paraId="48117912" w14:textId="0F1D5C30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Administer vitamin B12, 1 mg intramuscularly, 1 week prior to the first dose of ALIMTA and every 3 cycles</w:t>
      </w:r>
      <w:r w:rsidR="00DC5EC9">
        <w:rPr>
          <w:rFonts w:ascii="Futura" w:eastAsia="Calibri" w:hAnsi="Futura" w:cs="Calibri"/>
          <w:color w:val="000000"/>
          <w:sz w:val="20"/>
          <w:szCs w:val="20"/>
          <w:lang w:bidi="en-US"/>
        </w:rPr>
        <w:t>.</w:t>
      </w:r>
    </w:p>
    <w:p w14:paraId="6BA3EBB8" w14:textId="6A1523F6" w:rsidR="009F51BE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Administer dexamethasone 4 mg orally, twice daily the day before, the day of, and the day after ALIMTA administration.</w:t>
      </w:r>
    </w:p>
    <w:p w14:paraId="29F3AC47" w14:textId="77777777" w:rsidR="006658CE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024E2FA3" w14:textId="24BF060D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DC5EC9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PEMFEXY</w:t>
      </w: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 folate analog metabolic inhibitor indicated for: </w:t>
      </w:r>
    </w:p>
    <w:p w14:paraId="1420977A" w14:textId="799358B5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in combination with pembrolizumab and platinum chemotherapy, for the initial treatment of patients with metastatic non-squamous NSCLC, with no EGFR or ALK genomic tumor aberrations.</w:t>
      </w:r>
    </w:p>
    <w:p w14:paraId="16CDCE25" w14:textId="5B9B7692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in combination with cisplatin for the initial treatment of patients with locally advanced or metastatic non-squamous, non-small cell lung cancer (NSCLC.</w:t>
      </w:r>
    </w:p>
    <w:p w14:paraId="2FEAF5F8" w14:textId="7D8FE612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as a single agent for the maintenance treatment of patients with locally advanced or metastatic non-squamous NSCLC whose disease has not progressed after four cycles of platinum-based first-line chemotherapy.</w:t>
      </w:r>
    </w:p>
    <w:p w14:paraId="46B97E12" w14:textId="79DBAEF4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as a single agent for the treatment of patients with recurrent, metastatic non-squamous NSCLC after prior chemotherapy. Limitations of Use: PEMFEXY is not indicated for the treatment of patients with squamous cell non-small cell lung cancer.</w:t>
      </w:r>
    </w:p>
    <w:p w14:paraId="39642E39" w14:textId="300557E3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in combination with cisplatin for the initial treatment, of patients with malignant pleural mesothelioma whose disease is unresectable or who are otherwise not candidates for curative surgery.</w:t>
      </w:r>
    </w:p>
    <w:p w14:paraId="1880A39F" w14:textId="73702CC8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DOSAGE AND ADMINISTRATION</w:t>
      </w:r>
    </w:p>
    <w:p w14:paraId="34DEA5CB" w14:textId="6FC915ED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The recommended dose of PEMFEXY administered with pembrolizumab and platinum chemotherapy in patients with a creatinine clearance (calculated by Cockcroft-Gault equation) of 45 mL/min or greater is 500 mg/m2 as an intravenous infusion over 10 minutes, administered after pembrolizumab and prior to platinum chemotherapy, on Day 1 of each 21- day cycle.</w:t>
      </w:r>
    </w:p>
    <w:p w14:paraId="5F787B2D" w14:textId="532B5336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The recommended dosage of PEMFEXY, administered as a single agent or with cisplatin, in patients with creatinine clearance of 45 mL/minute or greater, is 500 mg/m2 as an intravenous infusion over 10 minutes on Day 1 of each 21-day cycle.</w:t>
      </w:r>
    </w:p>
    <w:p w14:paraId="0B31BFAF" w14:textId="127B5C9E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Initiate folic acid 400 mcg to 1000 mcg orally once daily beginning 7 days prior to the first dose of PEMFEXY and continue until 21 days after the last dose.</w:t>
      </w:r>
    </w:p>
    <w:p w14:paraId="7DFAC25A" w14:textId="115568B6" w:rsidR="0076305A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Administer vitamin B12 1 mg intramuscularly 1 week prior to the first dose of PEMFEXY and every 3 cycles thereafter.</w:t>
      </w:r>
    </w:p>
    <w:p w14:paraId="19DFC9A5" w14:textId="46E29855" w:rsidR="006658CE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6658CE">
        <w:rPr>
          <w:rFonts w:ascii="Futura" w:eastAsia="Calibri" w:hAnsi="Futura" w:cs="Calibri"/>
          <w:color w:val="000000"/>
          <w:sz w:val="20"/>
          <w:szCs w:val="20"/>
          <w:lang w:bidi="en-US"/>
        </w:rPr>
        <w:t>• Administer dexamethasone 4 mg orally twice daily the day before, the day of, and the day after PEMFEXY administration.</w:t>
      </w:r>
    </w:p>
    <w:p w14:paraId="4233C107" w14:textId="77777777" w:rsidR="006658CE" w:rsidRDefault="006658CE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2A447376" w14:textId="1F3A2F80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DC5EC9">
        <w:rPr>
          <w:rFonts w:ascii="Futura" w:eastAsia="Calibri" w:hAnsi="Futura" w:cs="Calibri"/>
          <w:b/>
          <w:bCs/>
          <w:color w:val="000000"/>
          <w:sz w:val="24"/>
          <w:szCs w:val="24"/>
          <w:lang w:bidi="en-US"/>
        </w:rPr>
        <w:t>PEMRYDI RTU</w:t>
      </w: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is a folate analog metabolic inhibitor indicated: </w:t>
      </w:r>
    </w:p>
    <w:p w14:paraId="7EDEB4EB" w14:textId="645FE8F8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• in combination with pembrolizumab and platinum chemotherapy, for the initial treatment of patients with metastatic non-squamous non-small cell lung cancer (NSCLC), with no EGFR or ALK genomic tumor aberrations.</w:t>
      </w:r>
    </w:p>
    <w:p w14:paraId="791FB63F" w14:textId="59249B61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• in combination with cisplatin for the initial treatment of patients with locally advanced or metastatic,</w:t>
      </w:r>
      <w:r w:rsidR="0010643A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n</w:t>
      </w:r>
      <w:r w:rsidR="00DC5EC9"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on</w:t>
      </w:r>
      <w:r w:rsidR="0010643A">
        <w:rPr>
          <w:rFonts w:ascii="Futura" w:eastAsia="Calibri" w:hAnsi="Futura" w:cs="Calibri"/>
          <w:color w:val="000000"/>
          <w:sz w:val="20"/>
          <w:szCs w:val="20"/>
          <w:lang w:bidi="en-US"/>
        </w:rPr>
        <w:t>-</w:t>
      </w:r>
      <w:r w:rsidR="00DC5EC9"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squamous</w:t>
      </w: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NSCLC.</w:t>
      </w:r>
    </w:p>
    <w:p w14:paraId="10EB7D97" w14:textId="04ADAD6B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• as a single agent for the maintenance treatment of patients with locally advanced or metastatic, </w:t>
      </w:r>
      <w:r w:rsidR="0010643A">
        <w:rPr>
          <w:rFonts w:ascii="Futura" w:eastAsia="Calibri" w:hAnsi="Futura" w:cs="Calibri"/>
          <w:color w:val="000000"/>
          <w:sz w:val="20"/>
          <w:szCs w:val="20"/>
          <w:lang w:bidi="en-US"/>
        </w:rPr>
        <w:t>n</w:t>
      </w:r>
      <w:r w:rsidR="00DC5EC9"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on</w:t>
      </w:r>
      <w:r w:rsidR="0010643A">
        <w:rPr>
          <w:rFonts w:ascii="Futura" w:eastAsia="Calibri" w:hAnsi="Futura" w:cs="Calibri"/>
          <w:color w:val="000000"/>
          <w:sz w:val="20"/>
          <w:szCs w:val="20"/>
          <w:lang w:bidi="en-US"/>
        </w:rPr>
        <w:t>-</w:t>
      </w:r>
      <w:r w:rsidR="00DC5EC9"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squamous</w:t>
      </w: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NSCLC whose disease has not progressed after four cycles of platinum-based first-line chemotherapy.</w:t>
      </w:r>
    </w:p>
    <w:p w14:paraId="1E0DC69D" w14:textId="0E17A377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>• as a single agent for the treatment of patients with recurrent, metastatic non-squamous, NSCLC after prior chemotherapy. Limitations of Use: PEMRYDI RTU is not indicated for the treatment of patients with squamous cell, non-small cell lung cancer.</w:t>
      </w:r>
    </w:p>
    <w:p w14:paraId="556860D2" w14:textId="5578092C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• initial treatment, in combination with cisplatin, of patients with malignant pleural mesothelioma whose disease is unresectable or who are otherwise not candidates for curative surgery.</w:t>
      </w:r>
    </w:p>
    <w:p w14:paraId="4FA8E570" w14:textId="77777777" w:rsidR="0076305A" w:rsidRDefault="0076305A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75F36D4D" w14:textId="2460615C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DOSAGE AND ADMINISTRATION</w:t>
      </w:r>
    </w:p>
    <w:p w14:paraId="3E8EE19C" w14:textId="341B90ED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• The recommended dose of PEMRYDI RTU administered with pembrolizumab and platinum chemotherapy in patients with a creatinine clearance (calculated by Cockcroft-Gault equation) of 45 mL/min or greater is 500 mg/m2 as an intravenous infusion over 10 minutes, administered after pembrolizumab and prior to platinum chemotherapy, on Day 1 of each 21-day cycle.</w:t>
      </w:r>
    </w:p>
    <w:p w14:paraId="4FA75FFB" w14:textId="6877250C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• The recommended dose of PEMRYDI RTU, administered as a single agent or with cisplatin, in patients with creatinine clearance of 45 mL/minute or greater is 500 mg/m2 as an intravenous infusion over 10 minutes on Day 1 of each 21-day cycle.</w:t>
      </w:r>
    </w:p>
    <w:p w14:paraId="74E77D60" w14:textId="4A921250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• Initiate folic acid 400 mcg to 1,000 mcg orally, once daily, beginning 7 days prior to the first dose of PEMRYDI RTU and continue until 21 days after the last dose of PEMRYDI RTU.</w:t>
      </w:r>
    </w:p>
    <w:p w14:paraId="79F27F3F" w14:textId="10C5D02C" w:rsidR="0076305A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• Administer vitamin B12, 1 mg intramuscularly, 1 week prior to the first dose of PEMRYDI RTU and every 3 cycles.</w:t>
      </w:r>
    </w:p>
    <w:p w14:paraId="2F712C82" w14:textId="6FC1D418" w:rsidR="006658CE" w:rsidRPr="009F51BE" w:rsidRDefault="00E22A96" w:rsidP="009F51BE">
      <w:p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E22A96">
        <w:rPr>
          <w:rFonts w:ascii="Futura" w:eastAsia="Calibri" w:hAnsi="Futura" w:cs="Calibri"/>
          <w:color w:val="000000"/>
          <w:sz w:val="20"/>
          <w:szCs w:val="20"/>
          <w:lang w:bidi="en-US"/>
        </w:rPr>
        <w:t>• Administer dexamethasone 4 mg orally, twice daily the day before, the day of, and the day after PEMRYDI RTU administration.</w:t>
      </w:r>
    </w:p>
    <w:p w14:paraId="37A13A2E" w14:textId="77777777" w:rsidR="00474DCE" w:rsidRDefault="00474DCE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ED2793B" w14:textId="2919B873" w:rsidR="00320403" w:rsidRDefault="00DC1B0C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Duration</w:t>
      </w:r>
      <w:r w:rsidR="009C2524">
        <w:rPr>
          <w:rFonts w:ascii="Futura" w:hAnsi="Futura"/>
          <w:b/>
          <w:bCs/>
          <w:color w:val="00AEDB"/>
          <w:sz w:val="24"/>
          <w:szCs w:val="24"/>
        </w:rPr>
        <w:t xml:space="preserve"> of approval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B8192B7" w14:textId="77777777" w:rsidR="00320403" w:rsidRDefault="003204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08068DBB" w14:textId="6B28279F" w:rsidR="00542D9D" w:rsidRPr="00C96407" w:rsidRDefault="009C2524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I</w:t>
      </w:r>
      <w:r w:rsidR="00DC1B0C" w:rsidRPr="00C96407">
        <w:rPr>
          <w:rFonts w:ascii="Futura" w:hAnsi="Futura"/>
          <w:b/>
          <w:bCs/>
          <w:sz w:val="24"/>
          <w:szCs w:val="24"/>
        </w:rPr>
        <w:t>nitial authorization</w:t>
      </w:r>
      <w:r w:rsidR="00DC1B0C" w:rsidRPr="00C96407">
        <w:rPr>
          <w:rFonts w:ascii="Futura" w:hAnsi="Futura"/>
          <w:sz w:val="24"/>
          <w:szCs w:val="24"/>
        </w:rPr>
        <w:t xml:space="preserve">: Length requested, </w:t>
      </w:r>
      <w:r w:rsidR="00B8376A" w:rsidRPr="00C96407">
        <w:rPr>
          <w:rFonts w:ascii="Futura" w:hAnsi="Futura"/>
          <w:sz w:val="24"/>
          <w:szCs w:val="24"/>
        </w:rPr>
        <w:t>length specified in the indication above (if applicable), or 12 months, whichever is shortest</w:t>
      </w:r>
    </w:p>
    <w:p w14:paraId="4C701B58" w14:textId="77777777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</w:p>
    <w:p w14:paraId="40EDAC36" w14:textId="5163999F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Reauthorization</w:t>
      </w:r>
      <w:r w:rsidRPr="00C96407">
        <w:rPr>
          <w:rFonts w:ascii="Futura" w:hAnsi="Futura"/>
          <w:sz w:val="24"/>
          <w:szCs w:val="24"/>
        </w:rPr>
        <w:t xml:space="preserve">: </w:t>
      </w:r>
      <w:r w:rsidR="00C96407" w:rsidRPr="00C96407">
        <w:rPr>
          <w:rFonts w:ascii="Futura" w:hAnsi="Futura"/>
          <w:sz w:val="24"/>
          <w:szCs w:val="24"/>
        </w:rPr>
        <w:t>Length requested, length specified in the indication above (if applicable), or 12 months, whichever is shortest</w:t>
      </w:r>
    </w:p>
    <w:p w14:paraId="0323F364" w14:textId="77777777" w:rsidR="00C96407" w:rsidRDefault="00C9640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6080660B" w14:textId="062258A2" w:rsidR="00320403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Exception Criteria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8F1F639" w14:textId="77777777" w:rsidR="00C3149B" w:rsidRDefault="00C3149B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1702901" w14:textId="6BAD115A" w:rsidR="005C3DC3" w:rsidRPr="004E3830" w:rsidRDefault="00694E3F" w:rsidP="0010643A">
      <w:p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b/>
          <w:bCs/>
          <w:sz w:val="24"/>
          <w:szCs w:val="24"/>
        </w:rPr>
        <w:t xml:space="preserve">Trial and failure, inadequate response to, </w:t>
      </w:r>
      <w:r w:rsidR="00462190">
        <w:rPr>
          <w:rFonts w:ascii="Futura" w:hAnsi="Futura"/>
          <w:b/>
          <w:bCs/>
          <w:sz w:val="24"/>
          <w:szCs w:val="24"/>
        </w:rPr>
        <w:t>or contraindication to Alimta (J9294, J9296, J9297, J9314, J9305</w:t>
      </w:r>
      <w:r w:rsidR="00DB0995">
        <w:rPr>
          <w:rFonts w:ascii="Futura" w:hAnsi="Futura"/>
          <w:b/>
          <w:bCs/>
          <w:sz w:val="24"/>
          <w:szCs w:val="24"/>
        </w:rPr>
        <w:t>, J9322) indicated in</w:t>
      </w:r>
      <w:r w:rsidR="00EA702A">
        <w:rPr>
          <w:rFonts w:ascii="Futura" w:hAnsi="Futura"/>
          <w:b/>
          <w:bCs/>
          <w:sz w:val="24"/>
          <w:szCs w:val="24"/>
        </w:rPr>
        <w:t xml:space="preserve"> the medical record may be reason to approve a secondary agent, but other courses of therapy</w:t>
      </w:r>
      <w:r w:rsidR="00AB6166">
        <w:rPr>
          <w:rFonts w:ascii="Futura" w:hAnsi="Futura"/>
          <w:b/>
          <w:bCs/>
          <w:sz w:val="24"/>
          <w:szCs w:val="24"/>
        </w:rPr>
        <w:t xml:space="preserve"> based on guidelines at the time</w:t>
      </w:r>
      <w:r w:rsidR="00EA702A">
        <w:rPr>
          <w:rFonts w:ascii="Futura" w:hAnsi="Futura"/>
          <w:b/>
          <w:bCs/>
          <w:sz w:val="24"/>
          <w:szCs w:val="24"/>
        </w:rPr>
        <w:t xml:space="preserve"> should be evaluated before approval of secondary agents.</w:t>
      </w:r>
    </w:p>
    <w:p w14:paraId="55CF9D8D" w14:textId="77777777" w:rsidR="00CD2097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4577D0A3" w14:textId="0559CE6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Reference(s): </w:t>
      </w:r>
    </w:p>
    <w:p w14:paraId="208BE092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38E206E4" w14:textId="6595DE35" w:rsidR="00A74550" w:rsidRPr="00050CFE" w:rsidRDefault="00050CFE" w:rsidP="00050CFE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Alimta package insert.  </w:t>
      </w:r>
      <w:hyperlink r:id="rId9" w:history="1">
        <w:r w:rsidR="0081337A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https://www.accessdata.fda.gov/drugsatfda_docs/label/2022/021462s055lbl.pdf</w:t>
        </w:r>
      </w:hyperlink>
    </w:p>
    <w:p w14:paraId="01193DF7" w14:textId="20EBFB2E" w:rsidR="00050CFE" w:rsidRPr="00D51CB1" w:rsidRDefault="00050CFE" w:rsidP="00050CFE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P</w:t>
      </w:r>
      <w:r w:rsidR="00D51CB1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emfexy package insert.  </w:t>
      </w:r>
      <w:hyperlink r:id="rId10" w:history="1">
        <w:r w:rsidR="00BB7526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https://www.pemfexy.com/wp-content/uploads/2022/12/PEMFEXY-pemetrexed-injection-US-PI-12-2022.pdf</w:t>
        </w:r>
      </w:hyperlink>
    </w:p>
    <w:p w14:paraId="3C3A4EE5" w14:textId="4AEA5041" w:rsidR="00D51CB1" w:rsidRPr="00FA7C17" w:rsidRDefault="00D51CB1" w:rsidP="00050CFE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Pemrydi RTU package insert.  </w:t>
      </w:r>
      <w:hyperlink r:id="rId11" w:history="1">
        <w:r w:rsidR="00BB7526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https://pemrydi.us/wp-content/uploads/2024/11/PEMRYDI-RTU-pemetrexed-injection-PI-Rev-11-2024-02-CLEAN.pdf</w:t>
        </w:r>
      </w:hyperlink>
    </w:p>
    <w:p w14:paraId="2A62542D" w14:textId="4A28A73A" w:rsidR="00FA7C17" w:rsidRPr="00F64756" w:rsidRDefault="00F64756" w:rsidP="00E51E1F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eternalHealth Medicare Part B Prior Authorization List.  </w:t>
      </w:r>
      <w:hyperlink r:id="rId12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https://www.eternalhealth.com/wp-content/uploads/2022/10/eternalHealth_MA-Part-B-PA-List-eff-1-1-2025.pdf</w:t>
        </w:r>
      </w:hyperlink>
    </w:p>
    <w:p w14:paraId="717ACA0E" w14:textId="0A8DC325" w:rsidR="000D5D23" w:rsidRPr="003B7939" w:rsidRDefault="00F45E5D" w:rsidP="003B7939">
      <w:pPr>
        <w:pStyle w:val="ListParagraph"/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CMS ASP Pricing Files.  </w:t>
      </w:r>
      <w:hyperlink r:id="rId13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https://www.cms.gov/medicare/payment/part-b-drugs/asp-pricing-files</w:t>
        </w:r>
      </w:hyperlink>
    </w:p>
    <w:sectPr w:rsidR="000D5D23" w:rsidRPr="003B7939" w:rsidSect="00CB0ED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Futura">
    <w:altName w:val="Century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EC75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588C2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A16F38"/>
    <w:multiLevelType w:val="hybridMultilevel"/>
    <w:tmpl w:val="04407252"/>
    <w:lvl w:ilvl="0" w:tplc="4F8400B2">
      <w:start w:val="1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C2E300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D42D04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B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0FA12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1EC698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9E76CE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AF72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447CF4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7888"/>
    <w:multiLevelType w:val="hybridMultilevel"/>
    <w:tmpl w:val="86DA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7DAF"/>
    <w:multiLevelType w:val="multilevel"/>
    <w:tmpl w:val="DA9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10777"/>
    <w:multiLevelType w:val="hybridMultilevel"/>
    <w:tmpl w:val="3D72C4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8FF26E8"/>
    <w:multiLevelType w:val="hybridMultilevel"/>
    <w:tmpl w:val="D104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B5152"/>
    <w:multiLevelType w:val="hybridMultilevel"/>
    <w:tmpl w:val="D7A6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E15F3"/>
    <w:multiLevelType w:val="multilevel"/>
    <w:tmpl w:val="8892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670E6"/>
    <w:multiLevelType w:val="hybridMultilevel"/>
    <w:tmpl w:val="039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66C6F"/>
    <w:multiLevelType w:val="hybridMultilevel"/>
    <w:tmpl w:val="74AC4940"/>
    <w:lvl w:ilvl="0" w:tplc="70C0DBAA">
      <w:start w:val="28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0CE24C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52CC28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C1BA2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E6D708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299C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A4038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4DE7A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89694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8E1D87"/>
    <w:multiLevelType w:val="hybridMultilevel"/>
    <w:tmpl w:val="8156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4E3A"/>
    <w:multiLevelType w:val="hybridMultilevel"/>
    <w:tmpl w:val="6FDC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A5804"/>
    <w:multiLevelType w:val="hybridMultilevel"/>
    <w:tmpl w:val="1600418E"/>
    <w:lvl w:ilvl="0" w:tplc="DC3A31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02550"/>
    <w:multiLevelType w:val="hybridMultilevel"/>
    <w:tmpl w:val="38F2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D417C"/>
    <w:multiLevelType w:val="hybridMultilevel"/>
    <w:tmpl w:val="D1C65420"/>
    <w:lvl w:ilvl="0" w:tplc="AD16C81E">
      <w:start w:val="1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8364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D80916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7CCAC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16CFAA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2463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CAAA4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F29CB6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668E06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017C16"/>
    <w:multiLevelType w:val="multilevel"/>
    <w:tmpl w:val="61DEEA6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56F6B5F"/>
    <w:multiLevelType w:val="hybridMultilevel"/>
    <w:tmpl w:val="E640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13DE8"/>
    <w:multiLevelType w:val="hybridMultilevel"/>
    <w:tmpl w:val="36140DD0"/>
    <w:lvl w:ilvl="0" w:tplc="24C059E0">
      <w:start w:val="20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005068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EB7CC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74326A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8D67E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F0EDFE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C69C9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A6E0C0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7847C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9905C5"/>
    <w:multiLevelType w:val="hybridMultilevel"/>
    <w:tmpl w:val="E954CFDE"/>
    <w:lvl w:ilvl="0" w:tplc="14A66536">
      <w:start w:val="1"/>
      <w:numFmt w:val="lowerLetter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6961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CE1E8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5EABEA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7809CE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64A700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C2D2C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2A4F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1414C0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BA642E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0862"/>
    <w:multiLevelType w:val="hybridMultilevel"/>
    <w:tmpl w:val="87704A18"/>
    <w:lvl w:ilvl="0" w:tplc="EDA0CBD4">
      <w:start w:val="1"/>
      <w:numFmt w:val="lowerLetter"/>
      <w:lvlText w:val="%1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72C57A">
      <w:start w:val="1"/>
      <w:numFmt w:val="lowerLetter"/>
      <w:lvlText w:val="%2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04F5CE">
      <w:start w:val="1"/>
      <w:numFmt w:val="lowerRoman"/>
      <w:lvlText w:val="%3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9E76E8">
      <w:start w:val="1"/>
      <w:numFmt w:val="decimal"/>
      <w:lvlText w:val="%4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2039FC">
      <w:start w:val="1"/>
      <w:numFmt w:val="lowerLetter"/>
      <w:lvlText w:val="%5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50F0AA">
      <w:start w:val="1"/>
      <w:numFmt w:val="lowerRoman"/>
      <w:lvlText w:val="%6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1C5982">
      <w:start w:val="1"/>
      <w:numFmt w:val="decimal"/>
      <w:lvlText w:val="%7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ACF7E">
      <w:start w:val="1"/>
      <w:numFmt w:val="lowerLetter"/>
      <w:lvlText w:val="%8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04B234">
      <w:start w:val="1"/>
      <w:numFmt w:val="lowerRoman"/>
      <w:lvlText w:val="%9"/>
      <w:lvlJc w:val="left"/>
      <w:pPr>
        <w:ind w:left="7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643599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01042"/>
    <w:multiLevelType w:val="hybridMultilevel"/>
    <w:tmpl w:val="D348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B0BF8"/>
    <w:multiLevelType w:val="hybridMultilevel"/>
    <w:tmpl w:val="C4B6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76CED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63BF8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570A1"/>
    <w:multiLevelType w:val="hybridMultilevel"/>
    <w:tmpl w:val="32E0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A44B5"/>
    <w:multiLevelType w:val="multilevel"/>
    <w:tmpl w:val="1A9AC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46125C"/>
    <w:multiLevelType w:val="hybridMultilevel"/>
    <w:tmpl w:val="20C6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04D1C"/>
    <w:multiLevelType w:val="hybridMultilevel"/>
    <w:tmpl w:val="CE9E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7547C"/>
    <w:multiLevelType w:val="hybridMultilevel"/>
    <w:tmpl w:val="DFA8A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40044">
    <w:abstractNumId w:val="24"/>
  </w:num>
  <w:num w:numId="2" w16cid:durableId="149489090">
    <w:abstractNumId w:val="3"/>
  </w:num>
  <w:num w:numId="3" w16cid:durableId="1841892029">
    <w:abstractNumId w:val="16"/>
  </w:num>
  <w:num w:numId="4" w16cid:durableId="15394699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265964">
    <w:abstractNumId w:val="3"/>
  </w:num>
  <w:num w:numId="6" w16cid:durableId="948857263">
    <w:abstractNumId w:val="1"/>
  </w:num>
  <w:num w:numId="7" w16cid:durableId="1671447188">
    <w:abstractNumId w:val="0"/>
  </w:num>
  <w:num w:numId="8" w16cid:durableId="1606309177">
    <w:abstractNumId w:val="9"/>
  </w:num>
  <w:num w:numId="9" w16cid:durableId="714888999">
    <w:abstractNumId w:val="28"/>
  </w:num>
  <w:num w:numId="10" w16cid:durableId="724990488">
    <w:abstractNumId w:val="11"/>
  </w:num>
  <w:num w:numId="11" w16cid:durableId="849368870">
    <w:abstractNumId w:val="20"/>
  </w:num>
  <w:num w:numId="12" w16cid:durableId="1875580773">
    <w:abstractNumId w:val="31"/>
  </w:num>
  <w:num w:numId="13" w16cid:durableId="1177887514">
    <w:abstractNumId w:val="26"/>
  </w:num>
  <w:num w:numId="14" w16cid:durableId="290327482">
    <w:abstractNumId w:val="25"/>
  </w:num>
  <w:num w:numId="15" w16cid:durableId="1617060357">
    <w:abstractNumId w:val="22"/>
  </w:num>
  <w:num w:numId="16" w16cid:durableId="16197046">
    <w:abstractNumId w:val="23"/>
  </w:num>
  <w:num w:numId="17" w16cid:durableId="231086096">
    <w:abstractNumId w:val="14"/>
  </w:num>
  <w:num w:numId="18" w16cid:durableId="2043944263">
    <w:abstractNumId w:val="27"/>
  </w:num>
  <w:num w:numId="19" w16cid:durableId="1848204807">
    <w:abstractNumId w:val="29"/>
  </w:num>
  <w:num w:numId="20" w16cid:durableId="861817097">
    <w:abstractNumId w:val="7"/>
  </w:num>
  <w:num w:numId="21" w16cid:durableId="1689024525">
    <w:abstractNumId w:val="13"/>
  </w:num>
  <w:num w:numId="22" w16cid:durableId="375931150">
    <w:abstractNumId w:val="2"/>
  </w:num>
  <w:num w:numId="23" w16cid:durableId="1451432766">
    <w:abstractNumId w:val="21"/>
  </w:num>
  <w:num w:numId="24" w16cid:durableId="680401851">
    <w:abstractNumId w:val="18"/>
  </w:num>
  <w:num w:numId="25" w16cid:durableId="1921599919">
    <w:abstractNumId w:val="10"/>
  </w:num>
  <w:num w:numId="26" w16cid:durableId="1664746064">
    <w:abstractNumId w:val="15"/>
  </w:num>
  <w:num w:numId="27" w16cid:durableId="974142410">
    <w:abstractNumId w:val="30"/>
  </w:num>
  <w:num w:numId="28" w16cid:durableId="1651515037">
    <w:abstractNumId w:val="12"/>
  </w:num>
  <w:num w:numId="29" w16cid:durableId="1723672510">
    <w:abstractNumId w:val="19"/>
  </w:num>
  <w:num w:numId="30" w16cid:durableId="31996377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133904438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91050385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33726950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12832693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91208075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26977486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116381249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42719230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9" w16cid:durableId="109131430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0" w16cid:durableId="201329348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1" w16cid:durableId="144588585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 w16cid:durableId="12702093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3" w16cid:durableId="136532628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4071634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234629052">
    <w:abstractNumId w:val="5"/>
  </w:num>
  <w:num w:numId="46" w16cid:durableId="1197693514">
    <w:abstractNumId w:val="6"/>
  </w:num>
  <w:num w:numId="47" w16cid:durableId="327784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3"/>
    <w:rsid w:val="00002194"/>
    <w:rsid w:val="00006F2B"/>
    <w:rsid w:val="00015EAD"/>
    <w:rsid w:val="000279A1"/>
    <w:rsid w:val="0003428D"/>
    <w:rsid w:val="00050288"/>
    <w:rsid w:val="00050CFE"/>
    <w:rsid w:val="00052050"/>
    <w:rsid w:val="0005293D"/>
    <w:rsid w:val="00055090"/>
    <w:rsid w:val="00057DE4"/>
    <w:rsid w:val="0006551D"/>
    <w:rsid w:val="00070C3E"/>
    <w:rsid w:val="00087AC4"/>
    <w:rsid w:val="00095439"/>
    <w:rsid w:val="000A72D9"/>
    <w:rsid w:val="000C0804"/>
    <w:rsid w:val="000D5D23"/>
    <w:rsid w:val="000E48B4"/>
    <w:rsid w:val="000F0644"/>
    <w:rsid w:val="000F5645"/>
    <w:rsid w:val="000F732B"/>
    <w:rsid w:val="0010271C"/>
    <w:rsid w:val="0010643A"/>
    <w:rsid w:val="00111DE8"/>
    <w:rsid w:val="00111E83"/>
    <w:rsid w:val="0013315A"/>
    <w:rsid w:val="00141AC0"/>
    <w:rsid w:val="00146F48"/>
    <w:rsid w:val="00163B05"/>
    <w:rsid w:val="00171CC3"/>
    <w:rsid w:val="001732AA"/>
    <w:rsid w:val="0018204C"/>
    <w:rsid w:val="001A17A5"/>
    <w:rsid w:val="001C3AA0"/>
    <w:rsid w:val="001C6D04"/>
    <w:rsid w:val="001D3758"/>
    <w:rsid w:val="001D52B4"/>
    <w:rsid w:val="002068E2"/>
    <w:rsid w:val="00222323"/>
    <w:rsid w:val="00232169"/>
    <w:rsid w:val="00234EA0"/>
    <w:rsid w:val="00235AF9"/>
    <w:rsid w:val="00255C58"/>
    <w:rsid w:val="00261E9C"/>
    <w:rsid w:val="00270308"/>
    <w:rsid w:val="00282EC9"/>
    <w:rsid w:val="00284C10"/>
    <w:rsid w:val="002933A9"/>
    <w:rsid w:val="0029343B"/>
    <w:rsid w:val="002C661D"/>
    <w:rsid w:val="002E25DE"/>
    <w:rsid w:val="002F4966"/>
    <w:rsid w:val="00310B8F"/>
    <w:rsid w:val="00311667"/>
    <w:rsid w:val="00320403"/>
    <w:rsid w:val="0033442B"/>
    <w:rsid w:val="00362E72"/>
    <w:rsid w:val="00370721"/>
    <w:rsid w:val="00372252"/>
    <w:rsid w:val="0038314B"/>
    <w:rsid w:val="00384870"/>
    <w:rsid w:val="003B405F"/>
    <w:rsid w:val="003B7939"/>
    <w:rsid w:val="003D0020"/>
    <w:rsid w:val="003E1B92"/>
    <w:rsid w:val="003F0AB1"/>
    <w:rsid w:val="00400062"/>
    <w:rsid w:val="00400AA7"/>
    <w:rsid w:val="00401E90"/>
    <w:rsid w:val="004057BB"/>
    <w:rsid w:val="00405835"/>
    <w:rsid w:val="0041548D"/>
    <w:rsid w:val="0041776D"/>
    <w:rsid w:val="004219F6"/>
    <w:rsid w:val="0043033F"/>
    <w:rsid w:val="00436A19"/>
    <w:rsid w:val="00436E7B"/>
    <w:rsid w:val="0043785C"/>
    <w:rsid w:val="00446EA0"/>
    <w:rsid w:val="00462190"/>
    <w:rsid w:val="00466972"/>
    <w:rsid w:val="00474DCE"/>
    <w:rsid w:val="004807F3"/>
    <w:rsid w:val="0048304F"/>
    <w:rsid w:val="00485617"/>
    <w:rsid w:val="004876ED"/>
    <w:rsid w:val="004A6CAF"/>
    <w:rsid w:val="004B711A"/>
    <w:rsid w:val="004B7D63"/>
    <w:rsid w:val="004C0821"/>
    <w:rsid w:val="004D2403"/>
    <w:rsid w:val="004E3731"/>
    <w:rsid w:val="004E3830"/>
    <w:rsid w:val="004E71A6"/>
    <w:rsid w:val="004F0D94"/>
    <w:rsid w:val="004F56DC"/>
    <w:rsid w:val="004F5EE3"/>
    <w:rsid w:val="004F6CF7"/>
    <w:rsid w:val="005027EC"/>
    <w:rsid w:val="00510459"/>
    <w:rsid w:val="005226EB"/>
    <w:rsid w:val="005372E4"/>
    <w:rsid w:val="00541A38"/>
    <w:rsid w:val="00541FB8"/>
    <w:rsid w:val="00542D9D"/>
    <w:rsid w:val="0055003C"/>
    <w:rsid w:val="00553F72"/>
    <w:rsid w:val="00554794"/>
    <w:rsid w:val="00563F86"/>
    <w:rsid w:val="00564D9D"/>
    <w:rsid w:val="00567991"/>
    <w:rsid w:val="00574C5A"/>
    <w:rsid w:val="00581FB0"/>
    <w:rsid w:val="00587BC5"/>
    <w:rsid w:val="00596AA0"/>
    <w:rsid w:val="005A5076"/>
    <w:rsid w:val="005B1B78"/>
    <w:rsid w:val="005B66F8"/>
    <w:rsid w:val="005C2258"/>
    <w:rsid w:val="005C3DC3"/>
    <w:rsid w:val="005D0A2F"/>
    <w:rsid w:val="00627E28"/>
    <w:rsid w:val="0063092D"/>
    <w:rsid w:val="006315C5"/>
    <w:rsid w:val="00644051"/>
    <w:rsid w:val="00645D2E"/>
    <w:rsid w:val="00645EAC"/>
    <w:rsid w:val="00647389"/>
    <w:rsid w:val="006502EC"/>
    <w:rsid w:val="00651E5A"/>
    <w:rsid w:val="006522B1"/>
    <w:rsid w:val="006658CE"/>
    <w:rsid w:val="006661F8"/>
    <w:rsid w:val="00671635"/>
    <w:rsid w:val="006747AA"/>
    <w:rsid w:val="00675C85"/>
    <w:rsid w:val="00682D71"/>
    <w:rsid w:val="006837C1"/>
    <w:rsid w:val="00694E3F"/>
    <w:rsid w:val="006C570F"/>
    <w:rsid w:val="006C791A"/>
    <w:rsid w:val="006D4720"/>
    <w:rsid w:val="006E1546"/>
    <w:rsid w:val="006E17EC"/>
    <w:rsid w:val="006E2283"/>
    <w:rsid w:val="006E7273"/>
    <w:rsid w:val="0070226E"/>
    <w:rsid w:val="00702342"/>
    <w:rsid w:val="0071688B"/>
    <w:rsid w:val="007230EC"/>
    <w:rsid w:val="0072344F"/>
    <w:rsid w:val="007301A3"/>
    <w:rsid w:val="00740D32"/>
    <w:rsid w:val="00741603"/>
    <w:rsid w:val="00742CF1"/>
    <w:rsid w:val="00760A91"/>
    <w:rsid w:val="007610DB"/>
    <w:rsid w:val="0076305A"/>
    <w:rsid w:val="00764E03"/>
    <w:rsid w:val="007812DC"/>
    <w:rsid w:val="007A409D"/>
    <w:rsid w:val="007B4386"/>
    <w:rsid w:val="007C25F4"/>
    <w:rsid w:val="007C5A44"/>
    <w:rsid w:val="007E38D8"/>
    <w:rsid w:val="007F4F63"/>
    <w:rsid w:val="00811596"/>
    <w:rsid w:val="0081337A"/>
    <w:rsid w:val="008169B9"/>
    <w:rsid w:val="00827A7B"/>
    <w:rsid w:val="00832A58"/>
    <w:rsid w:val="00833D5F"/>
    <w:rsid w:val="00834861"/>
    <w:rsid w:val="00835DAB"/>
    <w:rsid w:val="0087761A"/>
    <w:rsid w:val="00883B3D"/>
    <w:rsid w:val="00892F25"/>
    <w:rsid w:val="008972B0"/>
    <w:rsid w:val="008A0AC9"/>
    <w:rsid w:val="008B38E2"/>
    <w:rsid w:val="008D39C3"/>
    <w:rsid w:val="008D3BB4"/>
    <w:rsid w:val="008E134A"/>
    <w:rsid w:val="008E1C8A"/>
    <w:rsid w:val="008F1491"/>
    <w:rsid w:val="008F3574"/>
    <w:rsid w:val="008F6DA5"/>
    <w:rsid w:val="0090595D"/>
    <w:rsid w:val="0092568E"/>
    <w:rsid w:val="00930C83"/>
    <w:rsid w:val="00934560"/>
    <w:rsid w:val="00944973"/>
    <w:rsid w:val="00946CE1"/>
    <w:rsid w:val="00951AED"/>
    <w:rsid w:val="009551AB"/>
    <w:rsid w:val="00962F45"/>
    <w:rsid w:val="00967F85"/>
    <w:rsid w:val="00977B41"/>
    <w:rsid w:val="009815F3"/>
    <w:rsid w:val="0098253C"/>
    <w:rsid w:val="00984FC0"/>
    <w:rsid w:val="009A1FD0"/>
    <w:rsid w:val="009A65B2"/>
    <w:rsid w:val="009B2EC7"/>
    <w:rsid w:val="009C1F2E"/>
    <w:rsid w:val="009C2524"/>
    <w:rsid w:val="009C7DD7"/>
    <w:rsid w:val="009E5E17"/>
    <w:rsid w:val="009F1A1D"/>
    <w:rsid w:val="009F51BE"/>
    <w:rsid w:val="009F5C43"/>
    <w:rsid w:val="009F7E38"/>
    <w:rsid w:val="00A05151"/>
    <w:rsid w:val="00A06D28"/>
    <w:rsid w:val="00A46203"/>
    <w:rsid w:val="00A510FE"/>
    <w:rsid w:val="00A52B40"/>
    <w:rsid w:val="00A653B4"/>
    <w:rsid w:val="00A74550"/>
    <w:rsid w:val="00A7722E"/>
    <w:rsid w:val="00A77887"/>
    <w:rsid w:val="00A8078C"/>
    <w:rsid w:val="00A85AC1"/>
    <w:rsid w:val="00A862D2"/>
    <w:rsid w:val="00A9620B"/>
    <w:rsid w:val="00AA09A0"/>
    <w:rsid w:val="00AB6166"/>
    <w:rsid w:val="00AC208E"/>
    <w:rsid w:val="00AC3D96"/>
    <w:rsid w:val="00B02432"/>
    <w:rsid w:val="00B03A11"/>
    <w:rsid w:val="00B125DE"/>
    <w:rsid w:val="00B15619"/>
    <w:rsid w:val="00B23FE9"/>
    <w:rsid w:val="00B26E82"/>
    <w:rsid w:val="00B60BDE"/>
    <w:rsid w:val="00B77D2D"/>
    <w:rsid w:val="00B816C0"/>
    <w:rsid w:val="00B8376A"/>
    <w:rsid w:val="00B85E44"/>
    <w:rsid w:val="00B864D2"/>
    <w:rsid w:val="00B87B8F"/>
    <w:rsid w:val="00B945C9"/>
    <w:rsid w:val="00BA7316"/>
    <w:rsid w:val="00BB10D4"/>
    <w:rsid w:val="00BB3294"/>
    <w:rsid w:val="00BB7526"/>
    <w:rsid w:val="00BC07B2"/>
    <w:rsid w:val="00BC0C87"/>
    <w:rsid w:val="00BD3E6B"/>
    <w:rsid w:val="00BE6FAE"/>
    <w:rsid w:val="00C05623"/>
    <w:rsid w:val="00C11803"/>
    <w:rsid w:val="00C11B4C"/>
    <w:rsid w:val="00C15C77"/>
    <w:rsid w:val="00C23085"/>
    <w:rsid w:val="00C3132D"/>
    <w:rsid w:val="00C3149B"/>
    <w:rsid w:val="00C5183F"/>
    <w:rsid w:val="00C523F4"/>
    <w:rsid w:val="00C71E74"/>
    <w:rsid w:val="00C82C80"/>
    <w:rsid w:val="00C84EFE"/>
    <w:rsid w:val="00C86425"/>
    <w:rsid w:val="00C9120D"/>
    <w:rsid w:val="00C9245D"/>
    <w:rsid w:val="00C96407"/>
    <w:rsid w:val="00CA4636"/>
    <w:rsid w:val="00CB0EDA"/>
    <w:rsid w:val="00CB4D37"/>
    <w:rsid w:val="00CB5E28"/>
    <w:rsid w:val="00CC2B10"/>
    <w:rsid w:val="00CD2097"/>
    <w:rsid w:val="00CD610B"/>
    <w:rsid w:val="00CD64B2"/>
    <w:rsid w:val="00CD77BC"/>
    <w:rsid w:val="00CE1A71"/>
    <w:rsid w:val="00CE20F1"/>
    <w:rsid w:val="00CE393E"/>
    <w:rsid w:val="00CE56FF"/>
    <w:rsid w:val="00CF0A83"/>
    <w:rsid w:val="00CF2CDC"/>
    <w:rsid w:val="00D001BF"/>
    <w:rsid w:val="00D0674C"/>
    <w:rsid w:val="00D13DDD"/>
    <w:rsid w:val="00D23E08"/>
    <w:rsid w:val="00D242BA"/>
    <w:rsid w:val="00D24D71"/>
    <w:rsid w:val="00D319BA"/>
    <w:rsid w:val="00D35663"/>
    <w:rsid w:val="00D41FEF"/>
    <w:rsid w:val="00D51CB1"/>
    <w:rsid w:val="00D51E36"/>
    <w:rsid w:val="00D52814"/>
    <w:rsid w:val="00D7097F"/>
    <w:rsid w:val="00D9029B"/>
    <w:rsid w:val="00DB0995"/>
    <w:rsid w:val="00DB19EA"/>
    <w:rsid w:val="00DB4210"/>
    <w:rsid w:val="00DB428A"/>
    <w:rsid w:val="00DC1B0C"/>
    <w:rsid w:val="00DC5EC9"/>
    <w:rsid w:val="00DD1951"/>
    <w:rsid w:val="00DF38F3"/>
    <w:rsid w:val="00E1012C"/>
    <w:rsid w:val="00E15732"/>
    <w:rsid w:val="00E22A96"/>
    <w:rsid w:val="00E22BA1"/>
    <w:rsid w:val="00E36BFB"/>
    <w:rsid w:val="00E42974"/>
    <w:rsid w:val="00E51E1F"/>
    <w:rsid w:val="00E70CA5"/>
    <w:rsid w:val="00E720FB"/>
    <w:rsid w:val="00E7571F"/>
    <w:rsid w:val="00E768B3"/>
    <w:rsid w:val="00EA702A"/>
    <w:rsid w:val="00ED3544"/>
    <w:rsid w:val="00ED739E"/>
    <w:rsid w:val="00EE48E9"/>
    <w:rsid w:val="00EE7D5B"/>
    <w:rsid w:val="00EF112B"/>
    <w:rsid w:val="00EF60ED"/>
    <w:rsid w:val="00F034BA"/>
    <w:rsid w:val="00F114E0"/>
    <w:rsid w:val="00F11EF3"/>
    <w:rsid w:val="00F13FFD"/>
    <w:rsid w:val="00F1578C"/>
    <w:rsid w:val="00F304BD"/>
    <w:rsid w:val="00F360A6"/>
    <w:rsid w:val="00F36C54"/>
    <w:rsid w:val="00F45E5D"/>
    <w:rsid w:val="00F524DA"/>
    <w:rsid w:val="00F52D8E"/>
    <w:rsid w:val="00F57795"/>
    <w:rsid w:val="00F57FC9"/>
    <w:rsid w:val="00F64756"/>
    <w:rsid w:val="00F94EF6"/>
    <w:rsid w:val="00F96E21"/>
    <w:rsid w:val="00FA3D8A"/>
    <w:rsid w:val="00FA4408"/>
    <w:rsid w:val="00FA7C17"/>
    <w:rsid w:val="00FB35AF"/>
    <w:rsid w:val="00FB396E"/>
    <w:rsid w:val="00FC1668"/>
    <w:rsid w:val="00FC1E7C"/>
    <w:rsid w:val="00FC2ADC"/>
    <w:rsid w:val="00FC554A"/>
    <w:rsid w:val="00FD42FF"/>
    <w:rsid w:val="00FE2AB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1F0F"/>
  <w15:chartTrackingRefBased/>
  <w15:docId w15:val="{BA3DBEAA-AC70-4E0D-960D-288322D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F8"/>
  </w:style>
  <w:style w:type="paragraph" w:styleId="Heading1">
    <w:name w:val="heading 1"/>
    <w:basedOn w:val="Normal"/>
    <w:next w:val="Normal"/>
    <w:link w:val="Heading1Char"/>
    <w:uiPriority w:val="9"/>
    <w:qFormat/>
    <w:rsid w:val="00650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71C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71CC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7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0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60BD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ms.gov/medicare/payment/part-b-drugs/asp-pricing-fi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ternalhealth.com/wp-content/uploads/2022/10/eternalHealth_MA-Part-B-PA-List-eff-1-1-202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mrydi.us/wp-content/uploads/2024/11/PEMRYDI-RTU-pemetrexed-injection-PI-Rev-11-2024-02-CLEAN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mfexy.com/wp-content/uploads/2022/12/PEMFEXY-pemetrexed-injection-US-PI-12-202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ccessdata.fda.gov/drugsatfda_docs/label/2022/021462s055lb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3728796F1AF49AA5EE7049D0CA2DC" ma:contentTypeVersion="14" ma:contentTypeDescription="Create a new document." ma:contentTypeScope="" ma:versionID="65de5af41dbab921a85d81f10df3da20">
  <xsd:schema xmlns:xsd="http://www.w3.org/2001/XMLSchema" xmlns:xs="http://www.w3.org/2001/XMLSchema" xmlns:p="http://schemas.microsoft.com/office/2006/metadata/properties" xmlns:ns2="febe0462-7ad9-4cf3-8274-aa0cc4f080f3" xmlns:ns3="2498f20f-782f-4f87-afd5-421022d6a89d" targetNamespace="http://schemas.microsoft.com/office/2006/metadata/properties" ma:root="true" ma:fieldsID="0bf25b7367e3d42f5cee4169929b16ed" ns2:_="" ns3:_="">
    <xsd:import namespace="febe0462-7ad9-4cf3-8274-aa0cc4f080f3"/>
    <xsd:import namespace="2498f20f-782f-4f87-afd5-421022d6a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0462-7ad9-4cf3-8274-aa0cc4f0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46684a-a19c-4d21-91c6-41048820a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8f20f-782f-4f87-afd5-421022d6a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65e6f0-0859-4a49-ae1b-b418d9cfe567}" ma:internalName="TaxCatchAll" ma:showField="CatchAllData" ma:web="2498f20f-782f-4f87-afd5-421022d6a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e0462-7ad9-4cf3-8274-aa0cc4f080f3">
      <Terms xmlns="http://schemas.microsoft.com/office/infopath/2007/PartnerControls"/>
    </lcf76f155ced4ddcb4097134ff3c332f>
    <TaxCatchAll xmlns="2498f20f-782f-4f87-afd5-421022d6a8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CBCF5-D052-404A-9B3A-C397FFA41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0462-7ad9-4cf3-8274-aa0cc4f080f3"/>
    <ds:schemaRef ds:uri="2498f20f-782f-4f87-afd5-421022d6a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CF4EE-56B7-4BC8-9965-1CCC54DC1657}">
  <ds:schemaRefs>
    <ds:schemaRef ds:uri="http://schemas.microsoft.com/office/2006/metadata/properties"/>
    <ds:schemaRef ds:uri="http://schemas.microsoft.com/office/infopath/2007/PartnerControls"/>
    <ds:schemaRef ds:uri="febe0462-7ad9-4cf3-8274-aa0cc4f080f3"/>
    <ds:schemaRef ds:uri="2498f20f-782f-4f87-afd5-421022d6a89d"/>
  </ds:schemaRefs>
</ds:datastoreItem>
</file>

<file path=customXml/itemProps3.xml><?xml version="1.0" encoding="utf-8"?>
<ds:datastoreItem xmlns:ds="http://schemas.openxmlformats.org/officeDocument/2006/customXml" ds:itemID="{89D7D37D-E0D8-46F7-BEDF-FFBFBD885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1547</Words>
  <Characters>9255</Characters>
  <Application>Microsoft Office Word</Application>
  <DocSecurity>0</DocSecurity>
  <Lines>237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Cardinal</dc:creator>
  <cp:keywords/>
  <dc:description/>
  <cp:lastModifiedBy>John Vellutato</cp:lastModifiedBy>
  <cp:revision>11</cp:revision>
  <dcterms:created xsi:type="dcterms:W3CDTF">2025-04-09T14:03:00Z</dcterms:created>
  <dcterms:modified xsi:type="dcterms:W3CDTF">2025-10-07T17:52:00Z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0x0101004673728796F1AF49AA5EE7049D0CA2DC</vt:lpwstr>
  </property>
  <property fmtid="{D5CDD505-2E9C-101B-9397-08002B2CF9AE}" pid="3" name="MediaServiceImageTags">
    <vt:lpwstr/>
  </property>
</Properties>
</file>