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1E23" w14:textId="739D08A7" w:rsidR="00682D71" w:rsidRDefault="00171CC3">
      <w:r>
        <w:rPr>
          <w:noProof/>
        </w:rPr>
        <w:drawing>
          <wp:anchor distT="0" distB="0" distL="114300" distR="114300" simplePos="0" relativeHeight="251659264" behindDoc="1" locked="0" layoutInCell="1" allowOverlap="1" wp14:anchorId="6A61DFF5" wp14:editId="6318911E">
            <wp:simplePos x="0" y="0"/>
            <wp:positionH relativeFrom="column">
              <wp:posOffset>1060704</wp:posOffset>
            </wp:positionH>
            <wp:positionV relativeFrom="paragraph">
              <wp:posOffset>17290</wp:posOffset>
            </wp:positionV>
            <wp:extent cx="3721100" cy="644869"/>
            <wp:effectExtent l="0" t="0" r="0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6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36E08" w14:textId="77777777" w:rsidR="00171CC3" w:rsidRPr="00171CC3" w:rsidRDefault="00171CC3" w:rsidP="00171CC3"/>
    <w:p w14:paraId="45427FC3" w14:textId="77777777" w:rsidR="00171CC3" w:rsidRPr="00A95390" w:rsidRDefault="00171CC3" w:rsidP="00171CC3">
      <w:pPr>
        <w:widowControl w:val="0"/>
        <w:autoSpaceDE w:val="0"/>
        <w:autoSpaceDN w:val="0"/>
        <w:spacing w:before="40" w:line="305" w:lineRule="auto"/>
        <w:ind w:right="432"/>
        <w:rPr>
          <w:rFonts w:ascii="Montserrat" w:eastAsia="Calibri" w:hAnsi="Montserrat" w:cs="Calibri"/>
          <w:color w:val="4A9EFF"/>
          <w:sz w:val="44"/>
          <w:szCs w:val="54"/>
          <w:lang w:bidi="en-US"/>
        </w:rPr>
      </w:pPr>
      <w:r w:rsidRPr="00A95390">
        <w:rPr>
          <w:rFonts w:ascii="Montserrat" w:eastAsia="Calibri" w:hAnsi="Montserrat" w:cs="Calibri"/>
          <w:noProof/>
          <w:lang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94559" wp14:editId="12363257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5918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2C47C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8pt,26.45pt" to="880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VateLtoAAAAGAQAADwAAAGRycy9kb3ducmV2LnhtbEyPwU7DMBBE&#10;70j8g7VI3KhDqgIJcSqEVIkKLil8wDZekoh4HcVOE/6eRRzocWZWM2+L7eJ6daIxdJ4N3K4SUMS1&#10;tx03Bj7edzcPoEJEtth7JgPfFGBbXl4UmFs/c0WnQ2yUlHDI0UAb45BrHeqWHIaVH4gl+/Sjwyhy&#10;bLQdcZZy1+s0Se60w45locWBnluqvw6TM6CXl3SfVFhl61c3T7tqc5+97Y25vlqeHkFFWuL/Mfzi&#10;CzqUwnT0E9ugegPySDSwSTNQkmbrVIzjn6HLQp/jlz8AAAD//wMAUEsBAi0AFAAGAAgAAAAhALaD&#10;OJL+AAAA4QEAABMAAAAAAAAAAAAAAAAAAAAAAFtDb250ZW50X1R5cGVzXS54bWxQSwECLQAUAAYA&#10;CAAAACEAOP0h/9YAAACUAQAACwAAAAAAAAAAAAAAAAAvAQAAX3JlbHMvLnJlbHNQSwECLQAUAAYA&#10;CAAAACEAPrZ5kqwBAABGAwAADgAAAAAAAAAAAAAAAAAuAgAAZHJzL2Uyb0RvYy54bWxQSwECLQAU&#10;AAYACAAAACEAVateLtoAAAAGAQAADwAAAAAAAAAAAAAAAAAGBAAAZHJzL2Rvd25yZXYueG1sUEsF&#10;BgAAAAAEAAQA8wAAAA0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p w14:paraId="232C432B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Times New Roman"/>
          <w:color w:val="00AEDB"/>
          <w:sz w:val="24"/>
          <w:szCs w:val="24"/>
        </w:rPr>
      </w:pPr>
    </w:p>
    <w:p w14:paraId="74198E9A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171CC3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Policy and Procedure </w:t>
      </w:r>
    </w:p>
    <w:p w14:paraId="13809CD0" w14:textId="3FA3ABC1" w:rsidR="00171CC3" w:rsidRPr="00171CC3" w:rsidRDefault="00CB1B47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Pe</w:t>
      </w:r>
      <w:r w:rsidR="0006399A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r</w:t>
      </w:r>
      <w:r w:rsidR="00E56784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tuzumab</w:t>
      </w:r>
    </w:p>
    <w:p w14:paraId="480C9C92" w14:textId="26CC6B2E" w:rsidR="00171CC3" w:rsidRPr="005226EB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POLICY #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D83060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UMST-5</w:t>
      </w:r>
    </w:p>
    <w:p w14:paraId="26DF720B" w14:textId="3A97F0F8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Version: </w:t>
      </w:r>
      <w:r w:rsidR="00E15732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1</w:t>
      </w:r>
      <w:r w:rsidR="001A17A5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.0</w:t>
      </w:r>
      <w:r w:rsidR="00C11B4C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</w:p>
    <w:p w14:paraId="6526E423" w14:textId="77777777" w:rsidR="00171CC3" w:rsidRDefault="00171CC3" w:rsidP="00171CC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color w:val="4A9EFF"/>
          <w:sz w:val="24"/>
          <w:szCs w:val="24"/>
          <w:lang w:bidi="en-US"/>
        </w:rPr>
      </w:pPr>
    </w:p>
    <w:p w14:paraId="712B0DD6" w14:textId="77777777" w:rsidR="00320403" w:rsidRDefault="00171CC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 w:rsidRPr="00171CC3">
        <w:rPr>
          <w:rFonts w:ascii="Futura" w:eastAsia="Calibri" w:hAnsi="Futura" w:cs="Calibri"/>
          <w:noProof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5E043" wp14:editId="61E94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18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6DE9D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6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z2GlSdcAAAAEAQAADwAAAGRycy9kb3ducmV2LnhtbEyP3U6EQAxG&#10;7018h0lNvHMHIf6ADBtjsokbvWH1AbpMBSLTIcyw4NtbvdHL06/5elpuVzeoE02h92zgepOAIm68&#10;7bk18P62u7oHFSKyxcEzGfiiANvq/KzEwvqFazodYqukhEOBBroYx0Lr0HTkMGz8SCzZh58cRsGp&#10;1XbCRcrdoNMkudUOe5YLHY701FHzeZidAb0+p/ukxjrPXtwy7+qbu/x1b8zlxfr4ACrSGv+W4Udf&#10;1KESp6Of2QY1GJBHokwzUBLmWSp8/GVdlfq/fPUNAAD//wMAUEsBAi0AFAAGAAgAAAAhALaDOJL+&#10;AAAA4QEAABMAAAAAAAAAAAAAAAAAAAAAAFtDb250ZW50X1R5cGVzXS54bWxQSwECLQAUAAYACAAA&#10;ACEAOP0h/9YAAACUAQAACwAAAAAAAAAAAAAAAAAvAQAAX3JlbHMvLnJlbHNQSwECLQAUAAYACAAA&#10;ACEAPrZ5kqwBAABGAwAADgAAAAAAAAAAAAAAAAAuAgAAZHJzL2Uyb0RvYy54bWxQSwECLQAUAAYA&#10;CAAAACEAz2GlSdcAAAAEAQAADwAAAAAAAAAAAAAAAAAGBAAAZHJzL2Rvd25yZXYueG1sUEsFBgAA&#10;AAAEAAQA8wAAAAo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1890"/>
        <w:gridCol w:w="2945"/>
      </w:tblGrid>
      <w:tr w:rsidR="00320403" w14:paraId="0538398F" w14:textId="77777777" w:rsidTr="00320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BECC85" w14:textId="77777777" w:rsidR="00320403" w:rsidRPr="00E15732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 w:rsidRPr="00E15732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Binder: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2CD696" w14:textId="112A13A3" w:rsidR="00320403" w:rsidRDefault="00D83060" w:rsidP="00CD77BC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311E06" w14:textId="77777777" w:rsidR="00320403" w:rsidRDefault="00320403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Department: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598461" w14:textId="7076B979" w:rsidR="00320403" w:rsidRDefault="00D001B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Medical Management-UM</w:t>
            </w:r>
          </w:p>
        </w:tc>
      </w:tr>
      <w:tr w:rsidR="00320403" w14:paraId="5988EF9A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04DEE4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Policy Contact: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E7C508" w14:textId="36C7E732" w:rsidR="00320403" w:rsidRDefault="00D83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VP Pharmacy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7E7C54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Effective Date: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7473BD" w14:textId="24E2C966" w:rsidR="00320403" w:rsidRDefault="009B44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1</w:t>
            </w:r>
            <w:r w:rsidR="00D001BF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/1/2</w:t>
            </w: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6</w:t>
            </w:r>
          </w:p>
        </w:tc>
      </w:tr>
      <w:tr w:rsidR="00320403" w14:paraId="0E783544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5CCDE5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Date Last Reviewed: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53BA10" w14:textId="4EAF7391" w:rsidR="00320403" w:rsidRDefault="00320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15B2A2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Date of Policy Committee Approval: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72BAE2" w14:textId="0C145934" w:rsidR="00320403" w:rsidRPr="001A17A5" w:rsidRDefault="00320403" w:rsidP="001A17A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34A017EB" w14:textId="77777777" w:rsidR="00320403" w:rsidRDefault="00320403" w:rsidP="0032040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b/>
          <w:bCs/>
          <w:color w:val="4A9EFF"/>
          <w:sz w:val="24"/>
          <w:szCs w:val="24"/>
          <w:lang w:bidi="en-US"/>
        </w:rPr>
      </w:pPr>
    </w:p>
    <w:tbl>
      <w:tblPr>
        <w:tblStyle w:val="TableGrid1"/>
        <w:tblW w:w="9345" w:type="dxa"/>
        <w:tblBorders>
          <w:top w:val="single" w:sz="12" w:space="0" w:color="A5A5A5"/>
          <w:left w:val="single" w:sz="12" w:space="0" w:color="A5A5A5"/>
          <w:bottom w:val="single" w:sz="12" w:space="0" w:color="A5A5A5"/>
          <w:right w:val="single" w:sz="12" w:space="0" w:color="A5A5A5"/>
          <w:insideH w:val="single" w:sz="12" w:space="0" w:color="A5A5A5"/>
          <w:insideV w:val="single" w:sz="12" w:space="0" w:color="A5A5A5"/>
        </w:tblBorders>
        <w:tblLook w:val="04A0" w:firstRow="1" w:lastRow="0" w:firstColumn="1" w:lastColumn="0" w:noHBand="0" w:noVBand="1"/>
      </w:tblPr>
      <w:tblGrid>
        <w:gridCol w:w="1546"/>
        <w:gridCol w:w="2510"/>
        <w:gridCol w:w="1880"/>
        <w:gridCol w:w="3409"/>
      </w:tblGrid>
      <w:tr w:rsidR="00320403" w14:paraId="47A77D58" w14:textId="77777777" w:rsidTr="00320403">
        <w:tc>
          <w:tcPr>
            <w:tcW w:w="9345" w:type="dxa"/>
            <w:gridSpan w:val="4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CC25E45" w14:textId="77777777" w:rsidR="00320403" w:rsidRDefault="00320403">
            <w:pPr>
              <w:widowControl w:val="0"/>
              <w:autoSpaceDE w:val="0"/>
              <w:autoSpaceDN w:val="0"/>
              <w:jc w:val="center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Revision/Approval History</w:t>
            </w:r>
          </w:p>
        </w:tc>
      </w:tr>
      <w:tr w:rsidR="00320403" w14:paraId="02459072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F80719B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Date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D9342F0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Name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157BE64E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Title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4D3EEE37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Description</w:t>
            </w:r>
          </w:p>
        </w:tc>
      </w:tr>
      <w:tr w:rsidR="00320403" w14:paraId="67145A51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1C31E6F" w14:textId="0B68DF55" w:rsidR="00320403" w:rsidRDefault="00D83060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5736AEE" w14:textId="40E4F33F" w:rsidR="00320403" w:rsidRDefault="00E768B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Policy &amp; Procedure Committee 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67DA1ECD" w14:textId="0DCD383F" w:rsidR="00320403" w:rsidRDefault="00092B4D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35DC7F81" w14:textId="45489438" w:rsidR="00320403" w:rsidRDefault="00CB5E28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New policy. </w:t>
            </w:r>
          </w:p>
        </w:tc>
      </w:tr>
      <w:tr w:rsidR="00320403" w14:paraId="7973D708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2D9C931" w14:textId="356E4C52" w:rsidR="00320403" w:rsidRDefault="00092B4D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80828A1" w14:textId="48AE18EF" w:rsidR="00320403" w:rsidRDefault="00092B4D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C0B7B6E" w14:textId="5ED2091D" w:rsidR="00320403" w:rsidRDefault="00092B4D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F8B2E15" w14:textId="56055608" w:rsidR="00092B4D" w:rsidRDefault="00092B4D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New policy</w:t>
            </w:r>
          </w:p>
        </w:tc>
      </w:tr>
      <w:tr w:rsidR="009B443E" w14:paraId="6FB73C9F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2C320D6" w14:textId="48E1198A" w:rsidR="009B443E" w:rsidRDefault="009B443E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8/4/25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22CF81EB" w14:textId="12A4F35B" w:rsidR="009B443E" w:rsidRDefault="009B443E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0DB7E0F4" w14:textId="436EC64F" w:rsidR="009B443E" w:rsidRDefault="009B443E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Review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623D962E" w14:textId="77777777" w:rsidR="009B443E" w:rsidRDefault="009B443E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67C7852D" w14:textId="77777777" w:rsidR="00320403" w:rsidRDefault="00320403" w:rsidP="00320403">
      <w:pPr>
        <w:spacing w:after="0" w:line="240" w:lineRule="auto"/>
        <w:jc w:val="center"/>
        <w:rPr>
          <w:rFonts w:ascii="Futura" w:hAnsi="Futura"/>
          <w:color w:val="00AEDB"/>
          <w:sz w:val="24"/>
          <w:szCs w:val="24"/>
        </w:rPr>
      </w:pPr>
    </w:p>
    <w:p w14:paraId="6C4CF2DA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Policy:</w:t>
      </w:r>
    </w:p>
    <w:p w14:paraId="2ECE6697" w14:textId="164DFCC8" w:rsidR="00B60BDE" w:rsidRDefault="00B60BD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3E7F185" w14:textId="26E42809" w:rsidR="00581FB0" w:rsidRDefault="004F5EE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This policy stands to show the criteria for and preferencing of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 within the therapeutic class of </w:t>
      </w:r>
      <w:r w:rsidR="00214537">
        <w:rPr>
          <w:rFonts w:ascii="Futura" w:eastAsia="Calibri" w:hAnsi="Futura" w:cs="Calibri"/>
          <w:color w:val="000000"/>
          <w:sz w:val="20"/>
          <w:szCs w:val="20"/>
          <w:lang w:bidi="en-US"/>
        </w:rPr>
        <w:t>Pertuzumab</w:t>
      </w:r>
      <w:r w:rsidR="001E3C5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agents, </w:t>
      </w:r>
      <w:r w:rsidR="008F0653">
        <w:rPr>
          <w:rFonts w:ascii="Futura" w:eastAsia="Calibri" w:hAnsi="Futura" w:cs="Calibri"/>
          <w:color w:val="000000"/>
          <w:sz w:val="20"/>
          <w:szCs w:val="20"/>
          <w:lang w:bidi="en-US"/>
        </w:rPr>
        <w:t>Breast Cancer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At the time of creation of this policy, there are </w:t>
      </w:r>
      <w:r w:rsidR="008F0653">
        <w:rPr>
          <w:rFonts w:ascii="Futura" w:eastAsia="Calibri" w:hAnsi="Futura" w:cs="Calibri"/>
          <w:color w:val="000000"/>
          <w:sz w:val="20"/>
          <w:szCs w:val="20"/>
          <w:lang w:bidi="en-US"/>
        </w:rPr>
        <w:t>two</w:t>
      </w:r>
      <w:r w:rsidR="004B7D6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 to be reviewed: </w:t>
      </w:r>
      <w:r w:rsidR="008F0653">
        <w:rPr>
          <w:rFonts w:ascii="Futura" w:eastAsia="Calibri" w:hAnsi="Futura" w:cs="Calibri"/>
          <w:color w:val="000000"/>
          <w:sz w:val="20"/>
          <w:szCs w:val="20"/>
          <w:lang w:bidi="en-US"/>
        </w:rPr>
        <w:t>pertuzumab (Perjeta</w:t>
      </w:r>
      <w:r w:rsidR="009B0BEA">
        <w:rPr>
          <w:rFonts w:ascii="Futura" w:eastAsia="Calibri" w:hAnsi="Futura" w:cs="Calibri"/>
          <w:color w:val="000000"/>
          <w:sz w:val="20"/>
          <w:szCs w:val="20"/>
          <w:lang w:bidi="en-US"/>
        </w:rPr>
        <w:t>)-J9306 and pertuzumab, trastuzumab, hyaluronidase-zzxf (Phesgo)-J9316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The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review includes review of product package inserts for </w:t>
      </w:r>
      <w:r w:rsidR="0022232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FDA approved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indications and limitations, ASP pricing files updated quarterly, 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any external evidence available through CMS approved </w:t>
      </w:r>
      <w:r w:rsidR="009B0BEA">
        <w:rPr>
          <w:rFonts w:ascii="Futura" w:eastAsia="Calibri" w:hAnsi="Futura" w:cs="Calibri"/>
          <w:color w:val="000000"/>
          <w:sz w:val="20"/>
          <w:szCs w:val="20"/>
          <w:lang w:bidi="en-US"/>
        </w:rPr>
        <w:t>compendia, NCD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/LCD information</w:t>
      </w:r>
      <w:r w:rsidR="0029343B">
        <w:rPr>
          <w:rFonts w:ascii="Futura" w:eastAsia="Calibri" w:hAnsi="Futura" w:cs="Calibri"/>
          <w:color w:val="000000"/>
          <w:sz w:val="20"/>
          <w:szCs w:val="20"/>
          <w:lang w:bidi="en-US"/>
        </w:rPr>
        <w:t>, and the approved system used for clinical direction of the Utilization Management team</w:t>
      </w:r>
      <w:r w:rsidR="00006F2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for agents on the eternalHealth Medicare Part B Prior Auth list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.  T</w:t>
      </w:r>
      <w:r w:rsidR="00A85AC1">
        <w:rPr>
          <w:rFonts w:ascii="Futura" w:eastAsia="Calibri" w:hAnsi="Futura" w:cs="Calibri"/>
          <w:color w:val="000000"/>
          <w:sz w:val="20"/>
          <w:szCs w:val="20"/>
          <w:lang w:bidi="en-US"/>
        </w:rPr>
        <w:t>his information combined with a wholistic review of the members’ clinical profile will allow the eternalHealth team to arrive at a decision of clinical appropriateness and is not a guarantee of payment.</w:t>
      </w:r>
    </w:p>
    <w:p w14:paraId="7962C7E4" w14:textId="77777777" w:rsidR="00581FB0" w:rsidRDefault="00581FB0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E474433" w14:textId="77777777" w:rsidR="000917EF" w:rsidRDefault="000917EF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680EA57" w14:textId="77777777" w:rsidR="000917EF" w:rsidRDefault="000917EF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30CBED4" w14:textId="77777777" w:rsidR="000917EF" w:rsidRDefault="000917EF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7AB67EA" w14:textId="77777777" w:rsidR="000917EF" w:rsidRDefault="000917EF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10D21B8" w14:textId="77777777" w:rsidR="000917EF" w:rsidRDefault="000917EF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F44B0D1" w14:textId="77777777" w:rsidR="000917EF" w:rsidRDefault="000917EF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08F053C" w14:textId="77777777" w:rsidR="000917EF" w:rsidRDefault="000917EF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4478C5F" w14:textId="77777777" w:rsidR="000917EF" w:rsidRDefault="000917EF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14D185B" w14:textId="77777777" w:rsidR="000917EF" w:rsidRDefault="000917EF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E576D94" w14:textId="77777777" w:rsidR="00905BFB" w:rsidRDefault="00905BFB" w:rsidP="00905BFB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Summary:</w:t>
      </w:r>
    </w:p>
    <w:p w14:paraId="6B1396B6" w14:textId="77777777" w:rsidR="00905BFB" w:rsidRDefault="00905BFB" w:rsidP="00905BFB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</w:p>
    <w:p w14:paraId="6989BD0D" w14:textId="77777777" w:rsidR="00905BFB" w:rsidRDefault="00905BFB" w:rsidP="001001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All agents injected in the office will require prior authorization review for medical necessity</w:t>
      </w:r>
    </w:p>
    <w:p w14:paraId="64267C27" w14:textId="304097FB" w:rsidR="00905BFB" w:rsidRDefault="00905BFB" w:rsidP="0010013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If the request is for </w:t>
      </w:r>
      <w:r w:rsidR="00FD0CA8">
        <w:rPr>
          <w:rFonts w:ascii="Futura" w:hAnsi="Futura"/>
          <w:b/>
          <w:bCs/>
          <w:color w:val="00AEDB"/>
          <w:sz w:val="24"/>
          <w:szCs w:val="24"/>
        </w:rPr>
        <w:t>P</w:t>
      </w:r>
      <w:r w:rsidR="00EC1836">
        <w:rPr>
          <w:rFonts w:ascii="Futura" w:hAnsi="Futura"/>
          <w:b/>
          <w:bCs/>
          <w:color w:val="00AEDB"/>
          <w:sz w:val="24"/>
          <w:szCs w:val="24"/>
        </w:rPr>
        <w:t>hesgo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and determined to be medically necessary, it may be approved</w:t>
      </w:r>
    </w:p>
    <w:p w14:paraId="3375DB9B" w14:textId="7B27EFF1" w:rsidR="00905BFB" w:rsidRDefault="00905BFB" w:rsidP="0010013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If the request is for Per</w:t>
      </w:r>
      <w:r w:rsidR="00EC1836">
        <w:rPr>
          <w:rFonts w:ascii="Futura" w:hAnsi="Futura"/>
          <w:b/>
          <w:bCs/>
          <w:color w:val="00AEDB"/>
          <w:sz w:val="24"/>
          <w:szCs w:val="24"/>
        </w:rPr>
        <w:t>jeta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there must be a history of </w:t>
      </w:r>
      <w:r w:rsidR="002F7492">
        <w:rPr>
          <w:rFonts w:ascii="Futura" w:hAnsi="Futura"/>
          <w:b/>
          <w:bCs/>
          <w:color w:val="00AEDB"/>
          <w:sz w:val="24"/>
          <w:szCs w:val="24"/>
        </w:rPr>
        <w:t>Phesgo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documented in the medical record and the lack of clinical response to th</w:t>
      </w:r>
      <w:r w:rsidR="002F7492">
        <w:rPr>
          <w:rFonts w:ascii="Futura" w:hAnsi="Futura"/>
          <w:b/>
          <w:bCs/>
          <w:color w:val="00AEDB"/>
          <w:sz w:val="24"/>
          <w:szCs w:val="24"/>
        </w:rPr>
        <w:t>at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agent</w:t>
      </w:r>
    </w:p>
    <w:p w14:paraId="4B769150" w14:textId="77777777" w:rsidR="00905BFB" w:rsidRDefault="00905BFB" w:rsidP="001001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An exception to step therapy will be considered if:</w:t>
      </w:r>
    </w:p>
    <w:p w14:paraId="1EB19942" w14:textId="77777777" w:rsidR="00905BFB" w:rsidRPr="00732065" w:rsidRDefault="00905BFB" w:rsidP="0010013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There is specific 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documentation of inadequate response, contraindication, adverse event or otherwise </w:t>
      </w:r>
      <w:r>
        <w:rPr>
          <w:rFonts w:ascii="Futura" w:hAnsi="Futura"/>
          <w:b/>
          <w:bCs/>
          <w:color w:val="00AEDB"/>
          <w:sz w:val="24"/>
          <w:szCs w:val="24"/>
        </w:rPr>
        <w:t>d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>emonstrated for a preferred agent if requesting a secondary agent, and for preferred and secondary agents if requesting a tertiary agent.</w:t>
      </w:r>
    </w:p>
    <w:p w14:paraId="1E5141BC" w14:textId="087F51E5" w:rsidR="00905BFB" w:rsidRDefault="00905BFB" w:rsidP="0010013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Request contains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documentation of a continuation of therapy within the past </w:t>
      </w:r>
      <w:r w:rsidR="00747479">
        <w:rPr>
          <w:rFonts w:ascii="Futura" w:hAnsi="Futura"/>
          <w:b/>
          <w:bCs/>
          <w:color w:val="00AEDB"/>
          <w:sz w:val="24"/>
          <w:szCs w:val="24"/>
        </w:rPr>
        <w:t>365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days (if new) or if it is a reauthorization request.</w:t>
      </w:r>
    </w:p>
    <w:p w14:paraId="2E538B16" w14:textId="77777777" w:rsidR="00905BFB" w:rsidRPr="00732065" w:rsidRDefault="00905BFB" w:rsidP="00905BFB">
      <w:pPr>
        <w:pStyle w:val="ListParagraph"/>
        <w:spacing w:after="0" w:line="240" w:lineRule="auto"/>
        <w:ind w:left="1440"/>
        <w:jc w:val="both"/>
        <w:rPr>
          <w:rFonts w:ascii="Futura" w:hAnsi="Futura"/>
          <w:b/>
          <w:bCs/>
          <w:color w:val="00AEDB"/>
          <w:sz w:val="24"/>
          <w:szCs w:val="24"/>
        </w:rPr>
      </w:pPr>
    </w:p>
    <w:p w14:paraId="4F41E768" w14:textId="560B90E6" w:rsidR="00905BFB" w:rsidRDefault="00905BFB" w:rsidP="00905BFB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732065">
        <w:rPr>
          <w:rFonts w:ascii="Futura" w:hAnsi="Futura"/>
          <w:b/>
          <w:bCs/>
          <w:color w:val="00AEDB"/>
          <w:sz w:val="24"/>
          <w:szCs w:val="24"/>
        </w:rPr>
        <w:t>In either of the above situations, the product being used cannot be based on the use of samples or products provided through manufacturer patient assistance programs.</w:t>
      </w:r>
    </w:p>
    <w:p w14:paraId="1944206D" w14:textId="77777777" w:rsidR="00DD7BCE" w:rsidRDefault="00DD7BCE" w:rsidP="00905BFB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</w:p>
    <w:p w14:paraId="4D085817" w14:textId="5AA6E23B" w:rsidR="00E42974" w:rsidRPr="0018204C" w:rsidRDefault="00E42974" w:rsidP="00554794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18204C">
        <w:rPr>
          <w:rFonts w:ascii="Futura" w:hAnsi="Futura"/>
          <w:b/>
          <w:bCs/>
          <w:color w:val="00AEDB"/>
          <w:sz w:val="24"/>
          <w:szCs w:val="24"/>
        </w:rPr>
        <w:t>Exclusions:</w:t>
      </w:r>
    </w:p>
    <w:p w14:paraId="121B4A0C" w14:textId="30BA3CFC" w:rsidR="0018204C" w:rsidRDefault="004B7D0A" w:rsidP="0010013C">
      <w:pPr>
        <w:numPr>
          <w:ilvl w:val="0"/>
          <w:numId w:val="2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Requests for indications not FDA approved or supported by documentation of compendial acceptance provided by the requesting provider</w:t>
      </w:r>
    </w:p>
    <w:p w14:paraId="42E5438B" w14:textId="77777777" w:rsidR="003E698F" w:rsidRDefault="003E698F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5BDFBEC" w14:textId="340BC730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Preferencing:</w:t>
      </w:r>
    </w:p>
    <w:p w14:paraId="366D9618" w14:textId="3FD6499E" w:rsidR="00255C58" w:rsidRPr="00CD2097" w:rsidRDefault="00255C58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Preferred Agents:</w:t>
      </w:r>
      <w:r w:rsidR="00CD2097">
        <w:rPr>
          <w:rFonts w:ascii="Futura" w:hAnsi="Futura"/>
          <w:b/>
          <w:bCs/>
          <w:sz w:val="24"/>
          <w:szCs w:val="24"/>
        </w:rPr>
        <w:t xml:space="preserve"> </w:t>
      </w:r>
      <w:r w:rsidR="00844CBD">
        <w:rPr>
          <w:rFonts w:ascii="Futura" w:hAnsi="Futura"/>
          <w:b/>
          <w:bCs/>
          <w:sz w:val="24"/>
          <w:szCs w:val="24"/>
        </w:rPr>
        <w:t>Phesgo</w:t>
      </w:r>
    </w:p>
    <w:p w14:paraId="1887478B" w14:textId="45D844B0" w:rsidR="00AE372C" w:rsidRPr="00CD2097" w:rsidRDefault="0090595D" w:rsidP="00844CBD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Secondary Agents:</w:t>
      </w:r>
      <w:r w:rsidR="00CD2097">
        <w:rPr>
          <w:rFonts w:ascii="Futura" w:hAnsi="Futura"/>
          <w:b/>
          <w:bCs/>
          <w:sz w:val="24"/>
          <w:szCs w:val="24"/>
        </w:rPr>
        <w:t xml:space="preserve"> </w:t>
      </w:r>
      <w:r w:rsidR="00844CBD">
        <w:rPr>
          <w:rFonts w:ascii="Futura" w:hAnsi="Futura"/>
          <w:b/>
          <w:bCs/>
          <w:sz w:val="24"/>
          <w:szCs w:val="24"/>
        </w:rPr>
        <w:t>Perjeta</w:t>
      </w:r>
    </w:p>
    <w:p w14:paraId="6CA5A894" w14:textId="77777777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25E29391" w14:textId="2523E219" w:rsidR="00320403" w:rsidRDefault="00B15619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Agents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1171CEDC" w14:textId="77777777" w:rsidR="005027EC" w:rsidRPr="00B317BA" w:rsidRDefault="005027EC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highlight w:val="yellow"/>
          <w:lang w:bidi="en-US"/>
        </w:rPr>
      </w:pPr>
    </w:p>
    <w:p w14:paraId="65EE4548" w14:textId="506EA71C" w:rsidR="003E1B92" w:rsidRPr="003E1B92" w:rsidRDefault="003E1B92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467FD5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 xml:space="preserve">HCPCS: </w:t>
      </w:r>
      <w:r w:rsidR="00EB515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J</w:t>
      </w:r>
      <w:r w:rsidR="00844CBD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9306</w:t>
      </w:r>
      <w:r w:rsidR="0093575C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 xml:space="preserve">, </w:t>
      </w:r>
      <w:r w:rsidR="00467FD5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J</w:t>
      </w:r>
      <w:r w:rsidR="00844CBD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9316</w:t>
      </w:r>
    </w:p>
    <w:p w14:paraId="5780A820" w14:textId="000FF7A6" w:rsidR="009815F3" w:rsidRDefault="009815F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D2F4ED7" w14:textId="20142335" w:rsidR="000F48E2" w:rsidRPr="00CB52F6" w:rsidRDefault="000F48E2" w:rsidP="000F48E2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 w:rsidRPr="00CB52F6">
        <w:rPr>
          <w:rFonts w:ascii="Futura" w:hAnsi="Futura"/>
          <w:b/>
          <w:bCs/>
          <w:color w:val="00AEDB"/>
          <w:sz w:val="24"/>
          <w:szCs w:val="24"/>
        </w:rPr>
        <w:t>Clinical Indications</w:t>
      </w:r>
      <w:r w:rsidR="00CB52F6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787C4AC9" w14:textId="6245C3A4" w:rsidR="000F48E2" w:rsidRPr="00CB52F6" w:rsidRDefault="000F48E2" w:rsidP="0010013C">
      <w:pPr>
        <w:numPr>
          <w:ilvl w:val="0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Pertuzumab may be indicated when ALL of the following are present</w:t>
      </w:r>
      <w:bookmarkStart w:id="0" w:name="cl_c_1"/>
      <w:bookmarkStart w:id="1" w:name="cl_c_2"/>
      <w:bookmarkStart w:id="2" w:name="cl_c_3"/>
      <w:bookmarkEnd w:id="0"/>
      <w:bookmarkEnd w:id="1"/>
      <w:bookmarkEnd w:id="2"/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:</w:t>
      </w:r>
    </w:p>
    <w:p w14:paraId="534DE68C" w14:textId="77777777" w:rsidR="000F48E2" w:rsidRPr="00CB52F6" w:rsidRDefault="000F48E2" w:rsidP="0010013C">
      <w:pPr>
        <w:numPr>
          <w:ilvl w:val="1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Age 18 years or older</w:t>
      </w:r>
    </w:p>
    <w:p w14:paraId="6E92677E" w14:textId="2D4A26EA" w:rsidR="000F48E2" w:rsidRPr="00CB52F6" w:rsidRDefault="000F48E2" w:rsidP="0010013C">
      <w:pPr>
        <w:numPr>
          <w:ilvl w:val="1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Breast </w:t>
      </w:r>
      <w:r w:rsidR="001D332A"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cancer,</w:t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disease activity and treatment scenario includes 1 or more of the following:</w:t>
      </w:r>
    </w:p>
    <w:p w14:paraId="0199366D" w14:textId="4E0B2E74" w:rsidR="000F48E2" w:rsidRPr="00CB52F6" w:rsidRDefault="000F48E2" w:rsidP="0010013C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Metastatic disease and need for initial treatment, administered in combination with trastuzumab and either docetaxel or paclitaxel</w:t>
      </w:r>
    </w:p>
    <w:p w14:paraId="6DC9AB91" w14:textId="1E01F0A2" w:rsidR="000F48E2" w:rsidRPr="00CB52F6" w:rsidRDefault="000F48E2" w:rsidP="0010013C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Nonmetastatic disease and 1 or more of the following:</w:t>
      </w:r>
      <w:r w:rsidRPr="00CB52F6">
        <w:rPr>
          <w:rFonts w:ascii="Futura" w:eastAsia="Calibri" w:hAnsi="Futura" w:cs="Calibri"/>
          <w:noProof/>
          <w:color w:val="000000"/>
          <w:sz w:val="24"/>
          <w:szCs w:val="24"/>
          <w:lang w:bidi="en-US"/>
        </w:rPr>
        <mc:AlternateContent>
          <mc:Choice Requires="wps">
            <w:drawing>
              <wp:inline distT="0" distB="0" distL="0" distR="0" wp14:anchorId="7BFE1317" wp14:editId="298FC01F">
                <wp:extent cx="304800" cy="304800"/>
                <wp:effectExtent l="0" t="0" r="0" b="0"/>
                <wp:docPr id="836394612" name="Rectangle 5" descr="Supporting evidence, suggestions, and alternatives">
                  <a:hlinkClick xmlns:a="http://schemas.openxmlformats.org/drawingml/2006/main" r:id="rId9" tooltip="&quot;Supporting evidence, suggestions, and alternatives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A39842" id="Rectangle 5" o:spid="_x0000_s1026" alt="Supporting evidence, suggestions, and alternatives" href="https://rxadvance.carewebqi.com/GuidelineViewer.aspx/cver28.0/ac/ac_04425.htm?args=AQAAANCMnd8BFdERjHoAwE_Cl-sBAAAAtogmHFeQDkyCDKJTPYzHqAQAAAACAAAAAAAQZgAAAAEAACAAAACkOoYl4WXT9GksNfYXC3vyMT64tKJeF6Ayvc3HpXNKRwAAAAAOgAAAAAIAACAAAAB6lrAlBjkfkZZxhptRyYJWvOqFPVx-phR8HWDio7g0FxAAAADYhQ9cY14ngIVI6nnmwwBEQAAAAE-8fHo1-IZyl4HzrahVzbeA7yRz05SRWXiEKNZx8H64ervYb-ERafFQrFE9RU-eq-_gwpFnwME7lJa1230ynpI1" title="&quot;Supporting evidence, suggestions, and alternative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CC7CDD0" w14:textId="1746F4D5" w:rsidR="000F48E2" w:rsidRPr="00CB52F6" w:rsidRDefault="000F48E2" w:rsidP="0010013C">
      <w:pPr>
        <w:numPr>
          <w:ilvl w:val="3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lastRenderedPageBreak/>
        <w:t>Preoperative (</w:t>
      </w:r>
      <w:r w:rsidR="00636C8E"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i.e.</w:t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, neoadjuvant) multiagent treatment regimen needed for patient with 1 or more of the following:</w:t>
      </w:r>
    </w:p>
    <w:p w14:paraId="482F9EC5" w14:textId="77777777" w:rsidR="000F48E2" w:rsidRPr="00CB52F6" w:rsidRDefault="000F48E2" w:rsidP="0010013C">
      <w:pPr>
        <w:numPr>
          <w:ilvl w:val="4"/>
          <w:numId w:val="6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Early-stage disease and 1 or more of the following:</w:t>
      </w:r>
    </w:p>
    <w:p w14:paraId="65EACF4B" w14:textId="77777777" w:rsidR="000F48E2" w:rsidRPr="00CB52F6" w:rsidRDefault="000F48E2" w:rsidP="0010013C">
      <w:pPr>
        <w:numPr>
          <w:ilvl w:val="5"/>
          <w:numId w:val="6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Lymph node positive</w:t>
      </w:r>
    </w:p>
    <w:p w14:paraId="7C1F6761" w14:textId="77777777" w:rsidR="000F48E2" w:rsidRPr="00CB52F6" w:rsidRDefault="000F48E2" w:rsidP="0010013C">
      <w:pPr>
        <w:numPr>
          <w:ilvl w:val="5"/>
          <w:numId w:val="6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Tumor size greater than 2 cm in diameter</w:t>
      </w:r>
    </w:p>
    <w:p w14:paraId="5BCDED19" w14:textId="77777777" w:rsidR="000F48E2" w:rsidRPr="00CB52F6" w:rsidRDefault="000F48E2" w:rsidP="0010013C">
      <w:pPr>
        <w:numPr>
          <w:ilvl w:val="4"/>
          <w:numId w:val="7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Inflammatory disease</w:t>
      </w:r>
    </w:p>
    <w:p w14:paraId="060DB17A" w14:textId="77777777" w:rsidR="000F48E2" w:rsidRPr="00CB52F6" w:rsidRDefault="000F48E2" w:rsidP="0010013C">
      <w:pPr>
        <w:numPr>
          <w:ilvl w:val="4"/>
          <w:numId w:val="8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Locally advanced disease</w:t>
      </w:r>
    </w:p>
    <w:p w14:paraId="565E3D2E" w14:textId="53DEC72F" w:rsidR="000F48E2" w:rsidRPr="00CB52F6" w:rsidRDefault="000F48E2" w:rsidP="0010013C">
      <w:pPr>
        <w:numPr>
          <w:ilvl w:val="3"/>
          <w:numId w:val="9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Postoperative (</w:t>
      </w:r>
      <w:r w:rsidR="00636C8E"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i.e.</w:t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, adjuvant) multiagent treatment regimen (</w:t>
      </w:r>
      <w:r w:rsidR="00636C8E"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i.e.</w:t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, in combination with chemotherapy) needed for </w:t>
      </w:r>
      <w:r w:rsidR="00636C8E"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patients</w:t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with 1 or more of the following:</w:t>
      </w:r>
    </w:p>
    <w:p w14:paraId="785DFFD3" w14:textId="77777777" w:rsidR="000F48E2" w:rsidRPr="00CB52F6" w:rsidRDefault="000F48E2" w:rsidP="0010013C">
      <w:pPr>
        <w:numPr>
          <w:ilvl w:val="4"/>
          <w:numId w:val="10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Lymph node positive</w:t>
      </w:r>
    </w:p>
    <w:p w14:paraId="492C33FE" w14:textId="77777777" w:rsidR="000F48E2" w:rsidRPr="00CB52F6" w:rsidRDefault="000F48E2" w:rsidP="0010013C">
      <w:pPr>
        <w:numPr>
          <w:ilvl w:val="4"/>
          <w:numId w:val="11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Tumor size greater than 2 cm in diameter</w:t>
      </w:r>
    </w:p>
    <w:p w14:paraId="3FD3784E" w14:textId="31E7FE80" w:rsidR="000F48E2" w:rsidRPr="00CB52F6" w:rsidRDefault="000F48E2" w:rsidP="0010013C">
      <w:pPr>
        <w:numPr>
          <w:ilvl w:val="1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HER2 overexpression, as indicated by 1 or more of the following:</w:t>
      </w:r>
    </w:p>
    <w:p w14:paraId="2EBB2ACB" w14:textId="77777777" w:rsidR="000F48E2" w:rsidRPr="00CB52F6" w:rsidRDefault="000F48E2" w:rsidP="0010013C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Immunohistochemistry showing 3+ positivity for HER2</w:t>
      </w:r>
    </w:p>
    <w:p w14:paraId="5D657B25" w14:textId="77777777" w:rsidR="000F48E2" w:rsidRPr="00CB52F6" w:rsidRDefault="000F48E2" w:rsidP="0010013C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Positive test for HER2 via gene amplification with fluorescence in situ hybridization</w:t>
      </w:r>
    </w:p>
    <w:p w14:paraId="19322CA3" w14:textId="77777777" w:rsidR="000F48E2" w:rsidRPr="00CB52F6" w:rsidRDefault="000F48E2" w:rsidP="0010013C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Positive test for HER2 with chromogenic in situ hybridization</w:t>
      </w:r>
    </w:p>
    <w:p w14:paraId="34E715CC" w14:textId="2C1B359D" w:rsidR="000F48E2" w:rsidRPr="00CB52F6" w:rsidRDefault="000F48E2" w:rsidP="0010013C">
      <w:pPr>
        <w:numPr>
          <w:ilvl w:val="1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Left ventricular ejection fraction measured prior to administration and at regular intervals during therapy</w:t>
      </w:r>
    </w:p>
    <w:p w14:paraId="203C0FDF" w14:textId="4AF470E6" w:rsidR="000F48E2" w:rsidRPr="00CB52F6" w:rsidRDefault="000F48E2" w:rsidP="0010013C">
      <w:pPr>
        <w:numPr>
          <w:ilvl w:val="1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Patient </w:t>
      </w:r>
      <w:r w:rsidR="00DD7BCE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is </w:t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not pregnant</w:t>
      </w:r>
      <w:bookmarkStart w:id="3" w:name="cl_c_60"/>
      <w:bookmarkEnd w:id="3"/>
    </w:p>
    <w:p w14:paraId="2F914067" w14:textId="44DFA8C8" w:rsidR="000F48E2" w:rsidRPr="00CB52F6" w:rsidRDefault="000F48E2" w:rsidP="000F48E2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bookmarkStart w:id="4" w:name="EvidenceSummary_ac_04425"/>
      <w:bookmarkEnd w:id="4"/>
    </w:p>
    <w:p w14:paraId="72608C40" w14:textId="58020E42" w:rsidR="000F48E2" w:rsidRPr="009C1487" w:rsidRDefault="000F48E2" w:rsidP="000F48E2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bookmarkStart w:id="5" w:name="BackgroundAnnotation_ac_04425"/>
      <w:bookmarkEnd w:id="5"/>
      <w:r w:rsidRPr="009C1487">
        <w:rPr>
          <w:rFonts w:ascii="Futura" w:hAnsi="Futura"/>
          <w:b/>
          <w:bCs/>
          <w:color w:val="00AEDB"/>
          <w:sz w:val="24"/>
          <w:szCs w:val="24"/>
        </w:rPr>
        <w:t>Background</w:t>
      </w:r>
      <w:r w:rsidR="009C1487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6349778" w14:textId="0D733BBA" w:rsidR="000F48E2" w:rsidRPr="00CB52F6" w:rsidRDefault="000F48E2" w:rsidP="000F48E2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Pertuzumab is a recombinant monoclonal antibody that binds to the HER2 protein, thereby inhibiting cell proliferation.</w:t>
      </w:r>
      <w:bookmarkStart w:id="6" w:name="cl_c_4"/>
      <w:bookmarkEnd w:id="6"/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 HER2 overexpression (HER2 positivity) occurs in approximately 15% to 20% of primary breast cancers.</w:t>
      </w:r>
      <w:bookmarkStart w:id="7" w:name="cl_c_6"/>
      <w:bookmarkEnd w:id="7"/>
    </w:p>
    <w:p w14:paraId="24394875" w14:textId="77777777" w:rsidR="001D332A" w:rsidRPr="00CB52F6" w:rsidRDefault="001D332A" w:rsidP="000F48E2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</w:p>
    <w:p w14:paraId="6128284F" w14:textId="77777777" w:rsidR="008D19F7" w:rsidRPr="00CB52F6" w:rsidRDefault="00843423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9C1487">
        <w:rPr>
          <w:rFonts w:ascii="Futura" w:eastAsia="Calibri" w:hAnsi="Futura" w:cs="Calibri"/>
          <w:b/>
          <w:bCs/>
          <w:color w:val="000000"/>
          <w:sz w:val="28"/>
          <w:szCs w:val="28"/>
          <w:lang w:bidi="en-US"/>
        </w:rPr>
        <w:t>PHESGO</w:t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is a combination of pertuzumab and trastuzumab, HER2/neu receptor antagonists, and hyaluronidase, an endoglycosidase, indicated for:</w:t>
      </w:r>
    </w:p>
    <w:p w14:paraId="586EACDA" w14:textId="77777777" w:rsidR="00881D42" w:rsidRPr="00CB52F6" w:rsidRDefault="00843423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• Use in combination with chemotherapy as: </w:t>
      </w:r>
    </w:p>
    <w:p w14:paraId="3799EAE8" w14:textId="2F1BCC05" w:rsidR="008D19F7" w:rsidRPr="00CB52F6" w:rsidRDefault="00843423" w:rsidP="00881D42">
      <w:pPr>
        <w:spacing w:after="0" w:line="240" w:lineRule="auto"/>
        <w:ind w:firstLine="720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o neoadjuvant treatment of patients with HER2-positive, locally advanced, inflammatory, or early-stage breast cancer (either greater than 2 cm in diameter or node positive) as part of a complete treatment regimen for early breast cancer. </w:t>
      </w:r>
    </w:p>
    <w:p w14:paraId="38BBB8D4" w14:textId="6434A7FD" w:rsidR="008D19F7" w:rsidRPr="00CB52F6" w:rsidRDefault="00843423" w:rsidP="00881D42">
      <w:pPr>
        <w:spacing w:after="0" w:line="240" w:lineRule="auto"/>
        <w:ind w:firstLine="720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o adjuvant treatment of patients with HER2-positive early breast cancer at high risk of recurrence </w:t>
      </w:r>
    </w:p>
    <w:p w14:paraId="2D3CB24B" w14:textId="77777777" w:rsidR="006A42FC" w:rsidRPr="00CB52F6" w:rsidRDefault="00843423" w:rsidP="008D19F7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• Use in combination with docetaxel for treatment of patients with HER2- positive metastatic breast cancer (MBC) who have not received prior anti-HER2 therapy or chemotherapy for metastatic disease. </w:t>
      </w:r>
    </w:p>
    <w:p w14:paraId="252D1E9E" w14:textId="77777777" w:rsidR="006A42FC" w:rsidRPr="00CB52F6" w:rsidRDefault="006A42FC" w:rsidP="008D19F7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</w:p>
    <w:p w14:paraId="699AD684" w14:textId="77777777" w:rsidR="006A42FC" w:rsidRPr="00CB52F6" w:rsidRDefault="00843423" w:rsidP="008D19F7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DOSAGE AND ADMINISTRATION</w:t>
      </w:r>
    </w:p>
    <w:p w14:paraId="730EE211" w14:textId="77777777" w:rsidR="006A42FC" w:rsidRPr="00CB52F6" w:rsidRDefault="00843423" w:rsidP="008D19F7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• For subcutaneous use in the thigh only.</w:t>
      </w:r>
    </w:p>
    <w:p w14:paraId="17AF5724" w14:textId="77777777" w:rsidR="006A42FC" w:rsidRPr="00CB52F6" w:rsidRDefault="00843423" w:rsidP="008D19F7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• PHESGO has different dosage and administration instructions than intravenous pertuzumab and trastuzumab products.</w:t>
      </w:r>
    </w:p>
    <w:p w14:paraId="0A93CA4A" w14:textId="77777777" w:rsidR="006A42FC" w:rsidRPr="00CB52F6" w:rsidRDefault="00843423" w:rsidP="008D19F7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lastRenderedPageBreak/>
        <w:t>• Do not administer intravenously.</w:t>
      </w:r>
    </w:p>
    <w:p w14:paraId="1AFCBA34" w14:textId="77777777" w:rsidR="0022308F" w:rsidRPr="00CB52F6" w:rsidRDefault="00843423" w:rsidP="008D19F7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• Perform HER2 testing using FDA-approved tests by laboratories with demonstrated proficiency. </w:t>
      </w:r>
    </w:p>
    <w:p w14:paraId="3CD96BBA" w14:textId="77777777" w:rsidR="0022308F" w:rsidRPr="00CB52F6" w:rsidRDefault="00843423" w:rsidP="008D19F7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• The initial dose of PHESGO is 1,200 mg pertuzumab, 600 mg trastuzumab, and 30,000 units hyaluronidase administered subcutaneously over approximately 8 minutes, followed every 3 weeks by a dose of 600 mg pertuzumab, 600 mg trastuzumab, and 20,000 units hyaluronidase administered subcutaneously over approximately 5 minutes.</w:t>
      </w:r>
    </w:p>
    <w:p w14:paraId="531D84E4" w14:textId="77777777" w:rsidR="0022308F" w:rsidRPr="00CB52F6" w:rsidRDefault="00843423" w:rsidP="008D19F7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• Neoadjuvant: administer PHESGO by subcutaneous injection every 3 weeks and chemotherapy by intravenous infusion preoperatively for 3 to 6 cycles.</w:t>
      </w:r>
    </w:p>
    <w:p w14:paraId="642F01CD" w14:textId="77777777" w:rsidR="0022308F" w:rsidRPr="00CB52F6" w:rsidRDefault="00843423" w:rsidP="008D19F7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• Adjuvant: administer PHESGO by subcutaneous injection every 3 weeks and chemotherapy by intravenous infusion postoperatively for a total of 1 year (up to 18 cycles).</w:t>
      </w:r>
    </w:p>
    <w:p w14:paraId="00295D19" w14:textId="42E4F244" w:rsidR="009F51BE" w:rsidRPr="00CB52F6" w:rsidRDefault="00843423" w:rsidP="008D19F7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• MBC: administer PHESGO by subcutaneous injection and docetaxel by intravenous infusion every 3 weeks.</w:t>
      </w:r>
    </w:p>
    <w:p w14:paraId="4ED0BA65" w14:textId="77777777" w:rsidR="00843423" w:rsidRPr="00CB52F6" w:rsidRDefault="00843423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</w:p>
    <w:p w14:paraId="12A163A9" w14:textId="77777777" w:rsidR="0022308F" w:rsidRPr="00CB52F6" w:rsidRDefault="009F26AA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9C1487">
        <w:rPr>
          <w:rFonts w:ascii="Futura" w:eastAsia="Calibri" w:hAnsi="Futura" w:cs="Calibri"/>
          <w:b/>
          <w:bCs/>
          <w:color w:val="000000"/>
          <w:sz w:val="28"/>
          <w:szCs w:val="28"/>
          <w:lang w:bidi="en-US"/>
        </w:rPr>
        <w:t>PERJETA</w:t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is a HER2/neu receptor antagonist indicated for: </w:t>
      </w:r>
    </w:p>
    <w:p w14:paraId="7F48C4F1" w14:textId="77777777" w:rsidR="00836185" w:rsidRPr="00CB52F6" w:rsidRDefault="009F26AA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sym w:font="Symbol" w:char="F0B7"/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Use in combination with trastuzumab and docetaxel for treatment of patients with HER2-positive metastatic breast cancer (MBC) who have not received prior anti-HER2 therapy or chemotherapy for metastatic disease.</w:t>
      </w:r>
    </w:p>
    <w:p w14:paraId="038B9B09" w14:textId="346CBABC" w:rsidR="00836185" w:rsidRPr="00CB52F6" w:rsidRDefault="009F26AA" w:rsidP="009F51BE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sym w:font="Symbol" w:char="F0B7"/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Use in combination with trastuzumab and chemotherapy as o neoadjuvant treatment of patients with HER2-positive, locally advanced, inflammatory, or </w:t>
      </w:r>
      <w:r w:rsidR="00636C8E"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early-stage</w:t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breast cancer (either greater than 2 cm in diameter or node positive) as part of a complete treatment regimen for early breast cancer.</w:t>
      </w:r>
    </w:p>
    <w:p w14:paraId="310781D2" w14:textId="77777777" w:rsidR="00836185" w:rsidRPr="00CB52F6" w:rsidRDefault="009F26AA" w:rsidP="00836185">
      <w:pPr>
        <w:spacing w:after="0" w:line="240" w:lineRule="auto"/>
        <w:ind w:firstLine="720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o adjuvant treatment of patients with HER2-positive early breast cancer at high risk of recurrence</w:t>
      </w:r>
    </w:p>
    <w:p w14:paraId="49FAF30D" w14:textId="77777777" w:rsidR="00836185" w:rsidRPr="00CB52F6" w:rsidRDefault="00836185" w:rsidP="00836185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</w:p>
    <w:p w14:paraId="5B1563FC" w14:textId="77777777" w:rsidR="00836185" w:rsidRPr="00CB52F6" w:rsidRDefault="009F26AA" w:rsidP="00836185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DOSAGE AND ADMINISTRATION</w:t>
      </w:r>
    </w:p>
    <w:p w14:paraId="2F3B8EDA" w14:textId="77777777" w:rsidR="000E5A10" w:rsidRPr="00CB52F6" w:rsidRDefault="009F26AA" w:rsidP="00836185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sym w:font="Symbol" w:char="F0B7"/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For intravenous infusion only. Do not administer as an intravenous push or bolus.</w:t>
      </w:r>
    </w:p>
    <w:p w14:paraId="0CA784AC" w14:textId="77777777" w:rsidR="000E5A10" w:rsidRPr="00CB52F6" w:rsidRDefault="009F26AA" w:rsidP="00836185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sym w:font="Symbol" w:char="F0B7"/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HER2 testing: Perform using FDA-approved tests by laboratories with demonstrated proficiency. </w:t>
      </w:r>
    </w:p>
    <w:p w14:paraId="13DB6DA8" w14:textId="43D550AA" w:rsidR="000E5A10" w:rsidRPr="00CB52F6" w:rsidRDefault="009F26AA" w:rsidP="00836185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sym w:font="Symbol" w:char="F0B7"/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The initial PERJETA dose is 840 mg administered as a 60-minute intravenous infusion, followed every 3 weeks thereafter by 420 mg administered as a </w:t>
      </w:r>
      <w:r w:rsidR="00636C8E"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30-to-60-minute</w:t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intravenous infusion.</w:t>
      </w:r>
    </w:p>
    <w:p w14:paraId="34081FAC" w14:textId="69845E5A" w:rsidR="000E5A10" w:rsidRPr="00CB52F6" w:rsidRDefault="009F26AA" w:rsidP="00836185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sym w:font="Symbol" w:char="F0B7"/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MBC: Administer PERJETA, trastuzumab or trastuzumab hyaluronidase</w:t>
      </w:r>
      <w:r w:rsidR="00636C8E">
        <w:rPr>
          <w:rFonts w:ascii="Futura" w:eastAsia="Calibri" w:hAnsi="Futura" w:cs="Calibri"/>
          <w:color w:val="000000"/>
          <w:sz w:val="24"/>
          <w:szCs w:val="24"/>
          <w:lang w:bidi="en-US"/>
        </w:rPr>
        <w:t>-</w:t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>oysk, and docetaxel every 3 weeks.</w:t>
      </w:r>
    </w:p>
    <w:p w14:paraId="587A4E8A" w14:textId="77777777" w:rsidR="000E5A10" w:rsidRPr="00CB52F6" w:rsidRDefault="009F26AA" w:rsidP="00836185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sym w:font="Symbol" w:char="F0B7"/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Neoadjuvant: Administer PERJETA, trastuzumab or trastuzumab hyaluronidase-oysk, and chemotherapy preoperatively every 3 weeks for 3 to 6 cycles.</w:t>
      </w:r>
    </w:p>
    <w:p w14:paraId="5D2CC5F9" w14:textId="615D6F0E" w:rsidR="00843423" w:rsidRPr="00CB52F6" w:rsidRDefault="009F26AA" w:rsidP="00836185">
      <w:pPr>
        <w:spacing w:after="0" w:line="240" w:lineRule="auto"/>
        <w:rPr>
          <w:rFonts w:ascii="Futura" w:eastAsia="Calibri" w:hAnsi="Futura" w:cs="Calibri"/>
          <w:color w:val="000000"/>
          <w:sz w:val="24"/>
          <w:szCs w:val="24"/>
          <w:lang w:bidi="en-US"/>
        </w:rPr>
      </w:pP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sym w:font="Symbol" w:char="F0B7"/>
      </w:r>
      <w:r w:rsidRPr="00CB52F6">
        <w:rPr>
          <w:rFonts w:ascii="Futura" w:eastAsia="Calibri" w:hAnsi="Futura" w:cs="Calibri"/>
          <w:color w:val="000000"/>
          <w:sz w:val="24"/>
          <w:szCs w:val="24"/>
          <w:lang w:bidi="en-US"/>
        </w:rPr>
        <w:t xml:space="preserve"> Adjuvant: Administer PERJETA, trastuzumab or trastuzumab hyaluronidase-oysk, and chemotherapy postoperatively every 3 weeks for a total of 1 year (up to 18 cycles).</w:t>
      </w:r>
    </w:p>
    <w:p w14:paraId="60540D26" w14:textId="77777777" w:rsidR="00844CBD" w:rsidRDefault="00844CBD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676E475" w14:textId="77777777" w:rsidR="00844CBD" w:rsidRDefault="00844CBD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ED2793B" w14:textId="2919B873" w:rsidR="00320403" w:rsidRDefault="00DC1B0C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Duration</w:t>
      </w:r>
      <w:r w:rsidR="009C2524">
        <w:rPr>
          <w:rFonts w:ascii="Futura" w:hAnsi="Futura"/>
          <w:b/>
          <w:bCs/>
          <w:color w:val="00AEDB"/>
          <w:sz w:val="24"/>
          <w:szCs w:val="24"/>
        </w:rPr>
        <w:t xml:space="preserve"> of approval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B8192B7" w14:textId="77777777" w:rsidR="00320403" w:rsidRDefault="00320403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08068DBB" w14:textId="6B28279F" w:rsidR="00542D9D" w:rsidRPr="00C96407" w:rsidRDefault="009C2524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lastRenderedPageBreak/>
        <w:t>I</w:t>
      </w:r>
      <w:r w:rsidR="00DC1B0C" w:rsidRPr="00C96407">
        <w:rPr>
          <w:rFonts w:ascii="Futura" w:hAnsi="Futura"/>
          <w:b/>
          <w:bCs/>
          <w:sz w:val="24"/>
          <w:szCs w:val="24"/>
        </w:rPr>
        <w:t>nitial authorization</w:t>
      </w:r>
      <w:r w:rsidR="00DC1B0C" w:rsidRPr="00C96407">
        <w:rPr>
          <w:rFonts w:ascii="Futura" w:hAnsi="Futura"/>
          <w:sz w:val="24"/>
          <w:szCs w:val="24"/>
        </w:rPr>
        <w:t xml:space="preserve">: Length requested, </w:t>
      </w:r>
      <w:r w:rsidR="00B8376A" w:rsidRPr="00C96407">
        <w:rPr>
          <w:rFonts w:ascii="Futura" w:hAnsi="Futura"/>
          <w:sz w:val="24"/>
          <w:szCs w:val="24"/>
        </w:rPr>
        <w:t>length specified in the indication above (if applicable), or 12 months, whichever is shortest</w:t>
      </w:r>
    </w:p>
    <w:p w14:paraId="4C701B58" w14:textId="77777777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</w:p>
    <w:p w14:paraId="40EDAC36" w14:textId="5163999F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Reauthorization</w:t>
      </w:r>
      <w:r w:rsidRPr="00C96407">
        <w:rPr>
          <w:rFonts w:ascii="Futura" w:hAnsi="Futura"/>
          <w:sz w:val="24"/>
          <w:szCs w:val="24"/>
        </w:rPr>
        <w:t xml:space="preserve">: </w:t>
      </w:r>
      <w:r w:rsidR="00C96407" w:rsidRPr="00C96407">
        <w:rPr>
          <w:rFonts w:ascii="Futura" w:hAnsi="Futura"/>
          <w:sz w:val="24"/>
          <w:szCs w:val="24"/>
        </w:rPr>
        <w:t>Length requested, length specified in the indication above (if applicable), or 12 months, whichever is shortest</w:t>
      </w:r>
    </w:p>
    <w:p w14:paraId="0323F364" w14:textId="77777777" w:rsidR="00C96407" w:rsidRDefault="00C9640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6080660B" w14:textId="062258A2" w:rsidR="00320403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Exception Criteria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8F1F639" w14:textId="77777777" w:rsidR="00C3149B" w:rsidRDefault="00C3149B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1702901" w14:textId="0130C35F" w:rsidR="005C3DC3" w:rsidRDefault="00F95A1F" w:rsidP="0010013C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>Exception</w:t>
      </w:r>
      <w:r w:rsidR="00705F98">
        <w:rPr>
          <w:rFonts w:ascii="Futura" w:hAnsi="Futura"/>
          <w:sz w:val="24"/>
          <w:szCs w:val="24"/>
        </w:rPr>
        <w:t xml:space="preserve">s may need to be reviewed on multiple levels depending on the agent requested: </w:t>
      </w:r>
      <w:r w:rsidR="006C2777">
        <w:rPr>
          <w:rFonts w:ascii="Futura" w:hAnsi="Futura"/>
          <w:sz w:val="24"/>
          <w:szCs w:val="24"/>
        </w:rPr>
        <w:t xml:space="preserve">documentation of inadequate response, contraindication, adverse event or otherwise must be demonstrated for a </w:t>
      </w:r>
      <w:r w:rsidR="00997735">
        <w:rPr>
          <w:rFonts w:ascii="Futura" w:hAnsi="Futura"/>
          <w:sz w:val="24"/>
          <w:szCs w:val="24"/>
        </w:rPr>
        <w:t>preferred</w:t>
      </w:r>
      <w:r w:rsidR="006C2777">
        <w:rPr>
          <w:rFonts w:ascii="Futura" w:hAnsi="Futura"/>
          <w:sz w:val="24"/>
          <w:szCs w:val="24"/>
        </w:rPr>
        <w:t xml:space="preserve"> agent if request</w:t>
      </w:r>
      <w:r w:rsidR="00997735">
        <w:rPr>
          <w:rFonts w:ascii="Futura" w:hAnsi="Futura"/>
          <w:sz w:val="24"/>
          <w:szCs w:val="24"/>
        </w:rPr>
        <w:t>ing a secondary agent</w:t>
      </w:r>
      <w:r w:rsidR="00AB6317">
        <w:rPr>
          <w:rFonts w:ascii="Futura" w:hAnsi="Futura"/>
          <w:sz w:val="24"/>
          <w:szCs w:val="24"/>
        </w:rPr>
        <w:t>.</w:t>
      </w:r>
    </w:p>
    <w:p w14:paraId="6111E178" w14:textId="3DB52C47" w:rsidR="0072503A" w:rsidRDefault="00002541" w:rsidP="0010013C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 xml:space="preserve">Coverage for a secondary agent will be considered if </w:t>
      </w:r>
      <w:r w:rsidR="00EF0772">
        <w:rPr>
          <w:rFonts w:ascii="Futura" w:hAnsi="Futura"/>
          <w:sz w:val="24"/>
          <w:szCs w:val="24"/>
        </w:rPr>
        <w:t xml:space="preserve">there is documentation of a continuation of therapy </w:t>
      </w:r>
      <w:r w:rsidR="0072503A">
        <w:rPr>
          <w:rFonts w:ascii="Futura" w:hAnsi="Futura"/>
          <w:sz w:val="24"/>
          <w:szCs w:val="24"/>
        </w:rPr>
        <w:t xml:space="preserve">within the past </w:t>
      </w:r>
      <w:r w:rsidR="00747479">
        <w:rPr>
          <w:rFonts w:ascii="Futura" w:hAnsi="Futura"/>
          <w:sz w:val="24"/>
          <w:szCs w:val="24"/>
        </w:rPr>
        <w:t>365</w:t>
      </w:r>
      <w:r w:rsidR="0072503A">
        <w:rPr>
          <w:rFonts w:ascii="Futura" w:hAnsi="Futura"/>
          <w:sz w:val="24"/>
          <w:szCs w:val="24"/>
        </w:rPr>
        <w:t xml:space="preserve"> days (if new) or if it is a reauthorization request.</w:t>
      </w:r>
    </w:p>
    <w:p w14:paraId="2CB2D8D3" w14:textId="2FCFC765" w:rsidR="00856D17" w:rsidRPr="00856D17" w:rsidRDefault="00856D17" w:rsidP="0010013C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 xml:space="preserve">In either of the above situations, the product </w:t>
      </w:r>
      <w:r w:rsidR="009A5611">
        <w:rPr>
          <w:rFonts w:ascii="Futura" w:hAnsi="Futura"/>
          <w:sz w:val="24"/>
          <w:szCs w:val="24"/>
        </w:rPr>
        <w:t xml:space="preserve">being used cannot be based on </w:t>
      </w:r>
      <w:r w:rsidR="00636C8E">
        <w:rPr>
          <w:rFonts w:ascii="Futura" w:hAnsi="Futura"/>
          <w:sz w:val="24"/>
          <w:szCs w:val="24"/>
        </w:rPr>
        <w:t>the use</w:t>
      </w:r>
      <w:r w:rsidR="009A5611">
        <w:rPr>
          <w:rFonts w:ascii="Futura" w:hAnsi="Futura"/>
          <w:sz w:val="24"/>
          <w:szCs w:val="24"/>
        </w:rPr>
        <w:t xml:space="preserve"> of samples or products provided through manufacturer patient assistance programs.</w:t>
      </w:r>
    </w:p>
    <w:p w14:paraId="55CF9D8D" w14:textId="77777777" w:rsidR="00CD2097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4577D0A3" w14:textId="0559CE6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Reference(s): </w:t>
      </w:r>
    </w:p>
    <w:p w14:paraId="208BE092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88B0351" w14:textId="06F59C72" w:rsidR="001F19A1" w:rsidRPr="00E815CE" w:rsidRDefault="001F19A1" w:rsidP="0010013C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1F19A1">
        <w:rPr>
          <w:rFonts w:ascii="Futura" w:eastAsia="Calibri" w:hAnsi="Futura" w:cs="Calibri"/>
          <w:color w:val="000000"/>
          <w:sz w:val="20"/>
          <w:szCs w:val="20"/>
          <w:lang w:bidi="en-US"/>
        </w:rPr>
        <w:t>Perjeta (pertuzumab) P</w:t>
      </w: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ackage</w:t>
      </w:r>
      <w:r w:rsidRPr="001F19A1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In</w:t>
      </w: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sert.</w:t>
      </w:r>
      <w:r w:rsidRPr="001F19A1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hyperlink r:id="rId10" w:history="1">
        <w:r w:rsidRPr="003B2F87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https://www.perjeta.com/</w:t>
        </w:r>
      </w:hyperlink>
      <w:r w:rsidRPr="001F19A1">
        <w:rPr>
          <w:rFonts w:ascii="Futura" w:eastAsia="Calibri" w:hAnsi="Futura" w:cs="Calibri"/>
          <w:color w:val="000000"/>
          <w:sz w:val="20"/>
          <w:szCs w:val="20"/>
          <w:lang w:bidi="en-US"/>
        </w:rPr>
        <w:t>.</w:t>
      </w:r>
    </w:p>
    <w:p w14:paraId="6C26FB18" w14:textId="75D63D0B" w:rsidR="00E815CE" w:rsidRPr="001F19A1" w:rsidRDefault="003511FF" w:rsidP="0010013C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Phesgo</w:t>
      </w:r>
      <w:r w:rsidR="0061761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(pertuzumab, trastuzumab, and hyaluronidase-zzxf) Package Insert.  </w:t>
      </w:r>
      <w:hyperlink r:id="rId11" w:history="1">
        <w:r w:rsidR="00DC04FD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https://www.gene.com/download/pdf/phesgo_prescribing.pdf</w:t>
        </w:r>
      </w:hyperlink>
    </w:p>
    <w:p w14:paraId="2A62542D" w14:textId="794CF61F" w:rsidR="00FA7C17" w:rsidRPr="00F64756" w:rsidRDefault="00F64756" w:rsidP="0010013C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eternalHealth Medicare Part B Prior Authorization List.  </w:t>
      </w:r>
      <w:hyperlink r:id="rId12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https://www.eternalhealth.com/wp-content/uploads/2022/10/eternalHealth_MA-Part-B-PA-List-eff-1-1-2025.pdf</w:t>
        </w:r>
      </w:hyperlink>
    </w:p>
    <w:p w14:paraId="55401300" w14:textId="177C702B" w:rsidR="00A46203" w:rsidRPr="00AA09A0" w:rsidRDefault="00F45E5D" w:rsidP="0010013C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CMS ASP Pricing Files.  </w:t>
      </w:r>
      <w:hyperlink r:id="rId13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https://www.cms.gov/medicare/payment/part-b-drugs/asp-pricing-files</w:t>
        </w:r>
      </w:hyperlink>
    </w:p>
    <w:p w14:paraId="0660324A" w14:textId="77777777" w:rsidR="009C7DD7" w:rsidRDefault="009C7DD7" w:rsidP="009C7DD7">
      <w:pPr>
        <w:pStyle w:val="ListParagraph"/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17ACA0E" w14:textId="0FC644FC" w:rsidR="000D5D23" w:rsidRPr="00171CC3" w:rsidRDefault="000D5D2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sectPr w:rsidR="000D5D23" w:rsidRPr="00171CC3" w:rsidSect="00CB0ED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Futura">
    <w:altName w:val="Century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2EF"/>
    <w:multiLevelType w:val="multilevel"/>
    <w:tmpl w:val="924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67888"/>
    <w:multiLevelType w:val="hybridMultilevel"/>
    <w:tmpl w:val="86DA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26E8"/>
    <w:multiLevelType w:val="hybridMultilevel"/>
    <w:tmpl w:val="D104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E15F3"/>
    <w:multiLevelType w:val="multilevel"/>
    <w:tmpl w:val="8892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6B5F"/>
    <w:multiLevelType w:val="hybridMultilevel"/>
    <w:tmpl w:val="E640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265964">
    <w:abstractNumId w:val="1"/>
  </w:num>
  <w:num w:numId="2" w16cid:durableId="31996377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197693514">
    <w:abstractNumId w:val="2"/>
  </w:num>
  <w:num w:numId="4" w16cid:durableId="1659647255">
    <w:abstractNumId w:val="0"/>
  </w:num>
  <w:num w:numId="5" w16cid:durableId="788857036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" w16cid:durableId="899561770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" w16cid:durableId="68794739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8" w16cid:durableId="706178894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9" w16cid:durableId="503519259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0" w16cid:durableId="145049872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1" w16cid:durableId="477385280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2" w16cid:durableId="3277846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C3"/>
    <w:rsid w:val="00002194"/>
    <w:rsid w:val="00002541"/>
    <w:rsid w:val="00006F2B"/>
    <w:rsid w:val="000216B1"/>
    <w:rsid w:val="00050288"/>
    <w:rsid w:val="0005293D"/>
    <w:rsid w:val="00055090"/>
    <w:rsid w:val="0006399A"/>
    <w:rsid w:val="00070C3E"/>
    <w:rsid w:val="00084B4D"/>
    <w:rsid w:val="00087AC4"/>
    <w:rsid w:val="000917EF"/>
    <w:rsid w:val="00092B4D"/>
    <w:rsid w:val="000951BF"/>
    <w:rsid w:val="00095439"/>
    <w:rsid w:val="000A72D9"/>
    <w:rsid w:val="000C7E39"/>
    <w:rsid w:val="000D5D23"/>
    <w:rsid w:val="000E48B4"/>
    <w:rsid w:val="000E5A10"/>
    <w:rsid w:val="000F0644"/>
    <w:rsid w:val="000F48E2"/>
    <w:rsid w:val="000F5645"/>
    <w:rsid w:val="0010013C"/>
    <w:rsid w:val="0010271C"/>
    <w:rsid w:val="00110ABA"/>
    <w:rsid w:val="00111DE8"/>
    <w:rsid w:val="00111E83"/>
    <w:rsid w:val="00114DFB"/>
    <w:rsid w:val="0013315A"/>
    <w:rsid w:val="00146F48"/>
    <w:rsid w:val="00151F12"/>
    <w:rsid w:val="00163B05"/>
    <w:rsid w:val="00171CC3"/>
    <w:rsid w:val="001732AA"/>
    <w:rsid w:val="0017367D"/>
    <w:rsid w:val="0017549C"/>
    <w:rsid w:val="0018204C"/>
    <w:rsid w:val="001A17A5"/>
    <w:rsid w:val="001A3332"/>
    <w:rsid w:val="001C3AA0"/>
    <w:rsid w:val="001C6D04"/>
    <w:rsid w:val="001D332A"/>
    <w:rsid w:val="001D3758"/>
    <w:rsid w:val="001D485D"/>
    <w:rsid w:val="001D52B4"/>
    <w:rsid w:val="001E3C56"/>
    <w:rsid w:val="001F19A1"/>
    <w:rsid w:val="001F2395"/>
    <w:rsid w:val="002068E2"/>
    <w:rsid w:val="00214537"/>
    <w:rsid w:val="00217E56"/>
    <w:rsid w:val="00222323"/>
    <w:rsid w:val="0022308F"/>
    <w:rsid w:val="002236B3"/>
    <w:rsid w:val="00232169"/>
    <w:rsid w:val="00234EA0"/>
    <w:rsid w:val="00244FDD"/>
    <w:rsid w:val="002510B6"/>
    <w:rsid w:val="00255C58"/>
    <w:rsid w:val="00261E9C"/>
    <w:rsid w:val="00270308"/>
    <w:rsid w:val="00277C44"/>
    <w:rsid w:val="00282EC9"/>
    <w:rsid w:val="00284C10"/>
    <w:rsid w:val="0029343B"/>
    <w:rsid w:val="002B24D5"/>
    <w:rsid w:val="002B2E6E"/>
    <w:rsid w:val="002C19CE"/>
    <w:rsid w:val="002C661D"/>
    <w:rsid w:val="002C7A14"/>
    <w:rsid w:val="002D3FFC"/>
    <w:rsid w:val="002F4966"/>
    <w:rsid w:val="002F7492"/>
    <w:rsid w:val="00310B8F"/>
    <w:rsid w:val="00311667"/>
    <w:rsid w:val="00320403"/>
    <w:rsid w:val="00323429"/>
    <w:rsid w:val="0033442B"/>
    <w:rsid w:val="003511FF"/>
    <w:rsid w:val="00362E72"/>
    <w:rsid w:val="00370721"/>
    <w:rsid w:val="00372252"/>
    <w:rsid w:val="0038314B"/>
    <w:rsid w:val="00384870"/>
    <w:rsid w:val="003A3BE8"/>
    <w:rsid w:val="003B405F"/>
    <w:rsid w:val="003E1B92"/>
    <w:rsid w:val="003E5ADF"/>
    <w:rsid w:val="003E698F"/>
    <w:rsid w:val="003F0AB1"/>
    <w:rsid w:val="00400AA7"/>
    <w:rsid w:val="00401E90"/>
    <w:rsid w:val="004057BB"/>
    <w:rsid w:val="00405835"/>
    <w:rsid w:val="00407604"/>
    <w:rsid w:val="0041548D"/>
    <w:rsid w:val="0041776D"/>
    <w:rsid w:val="004219F6"/>
    <w:rsid w:val="0043033F"/>
    <w:rsid w:val="00436A19"/>
    <w:rsid w:val="00436E7B"/>
    <w:rsid w:val="00446EA0"/>
    <w:rsid w:val="00452D0D"/>
    <w:rsid w:val="00466972"/>
    <w:rsid w:val="00467FD5"/>
    <w:rsid w:val="00474DCE"/>
    <w:rsid w:val="004807F3"/>
    <w:rsid w:val="0048304F"/>
    <w:rsid w:val="00485617"/>
    <w:rsid w:val="004876ED"/>
    <w:rsid w:val="00497B99"/>
    <w:rsid w:val="004A17AA"/>
    <w:rsid w:val="004A6CAF"/>
    <w:rsid w:val="004B5092"/>
    <w:rsid w:val="004B711A"/>
    <w:rsid w:val="004B7D0A"/>
    <w:rsid w:val="004B7D63"/>
    <w:rsid w:val="004C0644"/>
    <w:rsid w:val="004C0821"/>
    <w:rsid w:val="004D2348"/>
    <w:rsid w:val="004D2403"/>
    <w:rsid w:val="004E3731"/>
    <w:rsid w:val="004E3830"/>
    <w:rsid w:val="004F0D94"/>
    <w:rsid w:val="004F3B63"/>
    <w:rsid w:val="004F56DC"/>
    <w:rsid w:val="004F5EE3"/>
    <w:rsid w:val="004F6CF7"/>
    <w:rsid w:val="005027EC"/>
    <w:rsid w:val="00510459"/>
    <w:rsid w:val="0051220F"/>
    <w:rsid w:val="005226EB"/>
    <w:rsid w:val="005269B9"/>
    <w:rsid w:val="005372E4"/>
    <w:rsid w:val="00541A38"/>
    <w:rsid w:val="00541FB8"/>
    <w:rsid w:val="00542D9D"/>
    <w:rsid w:val="0055003C"/>
    <w:rsid w:val="00554794"/>
    <w:rsid w:val="00563F86"/>
    <w:rsid w:val="00564D9D"/>
    <w:rsid w:val="00574C5A"/>
    <w:rsid w:val="00581FB0"/>
    <w:rsid w:val="00587BC5"/>
    <w:rsid w:val="00596AA0"/>
    <w:rsid w:val="005A4D07"/>
    <w:rsid w:val="005A5076"/>
    <w:rsid w:val="005B1B78"/>
    <w:rsid w:val="005B5D37"/>
    <w:rsid w:val="005B66F8"/>
    <w:rsid w:val="005C3DC3"/>
    <w:rsid w:val="005D0A2F"/>
    <w:rsid w:val="0061761E"/>
    <w:rsid w:val="00627E28"/>
    <w:rsid w:val="0063092D"/>
    <w:rsid w:val="006315C5"/>
    <w:rsid w:val="00636C8E"/>
    <w:rsid w:val="00643E03"/>
    <w:rsid w:val="00644051"/>
    <w:rsid w:val="00645EAC"/>
    <w:rsid w:val="00647389"/>
    <w:rsid w:val="006502EC"/>
    <w:rsid w:val="006522B1"/>
    <w:rsid w:val="00652714"/>
    <w:rsid w:val="006661F8"/>
    <w:rsid w:val="00671635"/>
    <w:rsid w:val="00672EF0"/>
    <w:rsid w:val="006747AA"/>
    <w:rsid w:val="00682D71"/>
    <w:rsid w:val="006837C1"/>
    <w:rsid w:val="006905E1"/>
    <w:rsid w:val="006A42FC"/>
    <w:rsid w:val="006C2777"/>
    <w:rsid w:val="006C570F"/>
    <w:rsid w:val="006C791A"/>
    <w:rsid w:val="006D4720"/>
    <w:rsid w:val="006E1546"/>
    <w:rsid w:val="006E2283"/>
    <w:rsid w:val="006E7273"/>
    <w:rsid w:val="0070226E"/>
    <w:rsid w:val="00702342"/>
    <w:rsid w:val="00705F98"/>
    <w:rsid w:val="0071688B"/>
    <w:rsid w:val="007230EC"/>
    <w:rsid w:val="0072344F"/>
    <w:rsid w:val="0072503A"/>
    <w:rsid w:val="007301A3"/>
    <w:rsid w:val="007320D1"/>
    <w:rsid w:val="00740D32"/>
    <w:rsid w:val="00741603"/>
    <w:rsid w:val="00741841"/>
    <w:rsid w:val="00742CF1"/>
    <w:rsid w:val="00745EEC"/>
    <w:rsid w:val="00747479"/>
    <w:rsid w:val="00747DAE"/>
    <w:rsid w:val="00760A91"/>
    <w:rsid w:val="007610DB"/>
    <w:rsid w:val="00764E03"/>
    <w:rsid w:val="007812DC"/>
    <w:rsid w:val="007A409D"/>
    <w:rsid w:val="007A411C"/>
    <w:rsid w:val="007B4386"/>
    <w:rsid w:val="007C25F4"/>
    <w:rsid w:val="007C5A44"/>
    <w:rsid w:val="007E38D8"/>
    <w:rsid w:val="007F4F63"/>
    <w:rsid w:val="00811596"/>
    <w:rsid w:val="008169B9"/>
    <w:rsid w:val="00821D58"/>
    <w:rsid w:val="008224A5"/>
    <w:rsid w:val="00827A7B"/>
    <w:rsid w:val="00832A58"/>
    <w:rsid w:val="00833D5F"/>
    <w:rsid w:val="00834861"/>
    <w:rsid w:val="00835DAB"/>
    <w:rsid w:val="00836185"/>
    <w:rsid w:val="00843423"/>
    <w:rsid w:val="00844CBD"/>
    <w:rsid w:val="00853AE4"/>
    <w:rsid w:val="008562BA"/>
    <w:rsid w:val="00856D17"/>
    <w:rsid w:val="00867E8D"/>
    <w:rsid w:val="00881D42"/>
    <w:rsid w:val="00883B3D"/>
    <w:rsid w:val="00892C1A"/>
    <w:rsid w:val="00892F25"/>
    <w:rsid w:val="008A7D57"/>
    <w:rsid w:val="008B38E2"/>
    <w:rsid w:val="008B66CF"/>
    <w:rsid w:val="008C42AD"/>
    <w:rsid w:val="008D19F7"/>
    <w:rsid w:val="008D39C3"/>
    <w:rsid w:val="008D3BB4"/>
    <w:rsid w:val="008E134A"/>
    <w:rsid w:val="008E1C8A"/>
    <w:rsid w:val="008E33BB"/>
    <w:rsid w:val="008F0653"/>
    <w:rsid w:val="008F1491"/>
    <w:rsid w:val="008F3574"/>
    <w:rsid w:val="008F6DA5"/>
    <w:rsid w:val="008F7EDA"/>
    <w:rsid w:val="0090595D"/>
    <w:rsid w:val="00905BFB"/>
    <w:rsid w:val="00917608"/>
    <w:rsid w:val="0092568E"/>
    <w:rsid w:val="00926F52"/>
    <w:rsid w:val="00930C83"/>
    <w:rsid w:val="00934560"/>
    <w:rsid w:val="0093575C"/>
    <w:rsid w:val="00944973"/>
    <w:rsid w:val="009551AB"/>
    <w:rsid w:val="00962F45"/>
    <w:rsid w:val="0096655A"/>
    <w:rsid w:val="00967F85"/>
    <w:rsid w:val="00972E5F"/>
    <w:rsid w:val="00973896"/>
    <w:rsid w:val="00977B41"/>
    <w:rsid w:val="009815F3"/>
    <w:rsid w:val="0098253C"/>
    <w:rsid w:val="00984FC0"/>
    <w:rsid w:val="00997735"/>
    <w:rsid w:val="009A1FD0"/>
    <w:rsid w:val="009A5611"/>
    <w:rsid w:val="009A65B2"/>
    <w:rsid w:val="009B0BEA"/>
    <w:rsid w:val="009B2EC7"/>
    <w:rsid w:val="009B443E"/>
    <w:rsid w:val="009C1487"/>
    <w:rsid w:val="009C1F2E"/>
    <w:rsid w:val="009C2524"/>
    <w:rsid w:val="009C7DD7"/>
    <w:rsid w:val="009E5E17"/>
    <w:rsid w:val="009F26AA"/>
    <w:rsid w:val="009F51BE"/>
    <w:rsid w:val="009F67D8"/>
    <w:rsid w:val="009F7E38"/>
    <w:rsid w:val="00A05151"/>
    <w:rsid w:val="00A06D28"/>
    <w:rsid w:val="00A31EC2"/>
    <w:rsid w:val="00A46203"/>
    <w:rsid w:val="00A467B2"/>
    <w:rsid w:val="00A510FE"/>
    <w:rsid w:val="00A52B40"/>
    <w:rsid w:val="00A54A77"/>
    <w:rsid w:val="00A653B4"/>
    <w:rsid w:val="00A674D1"/>
    <w:rsid w:val="00A74550"/>
    <w:rsid w:val="00A77887"/>
    <w:rsid w:val="00A8078C"/>
    <w:rsid w:val="00A85AC1"/>
    <w:rsid w:val="00A862D2"/>
    <w:rsid w:val="00A9620B"/>
    <w:rsid w:val="00AA09A0"/>
    <w:rsid w:val="00AA5341"/>
    <w:rsid w:val="00AB6317"/>
    <w:rsid w:val="00AC208E"/>
    <w:rsid w:val="00AC3D96"/>
    <w:rsid w:val="00AE372C"/>
    <w:rsid w:val="00B02432"/>
    <w:rsid w:val="00B125DE"/>
    <w:rsid w:val="00B15188"/>
    <w:rsid w:val="00B15619"/>
    <w:rsid w:val="00B23FE9"/>
    <w:rsid w:val="00B30CF8"/>
    <w:rsid w:val="00B317BA"/>
    <w:rsid w:val="00B34984"/>
    <w:rsid w:val="00B36AE9"/>
    <w:rsid w:val="00B60BDE"/>
    <w:rsid w:val="00B77D2D"/>
    <w:rsid w:val="00B816C0"/>
    <w:rsid w:val="00B8376A"/>
    <w:rsid w:val="00B85E44"/>
    <w:rsid w:val="00B864D2"/>
    <w:rsid w:val="00B87B8F"/>
    <w:rsid w:val="00B87C5F"/>
    <w:rsid w:val="00B92C2A"/>
    <w:rsid w:val="00B9346B"/>
    <w:rsid w:val="00B945C9"/>
    <w:rsid w:val="00BA7316"/>
    <w:rsid w:val="00BB10D4"/>
    <w:rsid w:val="00BB3294"/>
    <w:rsid w:val="00BC07B2"/>
    <w:rsid w:val="00BC0C87"/>
    <w:rsid w:val="00BD3E6B"/>
    <w:rsid w:val="00BE6FAE"/>
    <w:rsid w:val="00BF3791"/>
    <w:rsid w:val="00C042D2"/>
    <w:rsid w:val="00C05623"/>
    <w:rsid w:val="00C11803"/>
    <w:rsid w:val="00C11B4C"/>
    <w:rsid w:val="00C142D2"/>
    <w:rsid w:val="00C15C77"/>
    <w:rsid w:val="00C23085"/>
    <w:rsid w:val="00C2471A"/>
    <w:rsid w:val="00C3132D"/>
    <w:rsid w:val="00C3149B"/>
    <w:rsid w:val="00C3267C"/>
    <w:rsid w:val="00C5183F"/>
    <w:rsid w:val="00C523F4"/>
    <w:rsid w:val="00C71E74"/>
    <w:rsid w:val="00C758D7"/>
    <w:rsid w:val="00C82C80"/>
    <w:rsid w:val="00C84EFE"/>
    <w:rsid w:val="00C86425"/>
    <w:rsid w:val="00C9120D"/>
    <w:rsid w:val="00C96407"/>
    <w:rsid w:val="00CA4636"/>
    <w:rsid w:val="00CB0EDA"/>
    <w:rsid w:val="00CB1B47"/>
    <w:rsid w:val="00CB4D37"/>
    <w:rsid w:val="00CB52F6"/>
    <w:rsid w:val="00CB5E28"/>
    <w:rsid w:val="00CC2B10"/>
    <w:rsid w:val="00CD2097"/>
    <w:rsid w:val="00CD610B"/>
    <w:rsid w:val="00CD64B2"/>
    <w:rsid w:val="00CD77BC"/>
    <w:rsid w:val="00CE20F1"/>
    <w:rsid w:val="00CE393E"/>
    <w:rsid w:val="00CE56FF"/>
    <w:rsid w:val="00CF0A83"/>
    <w:rsid w:val="00CF1F36"/>
    <w:rsid w:val="00D001BF"/>
    <w:rsid w:val="00D0049A"/>
    <w:rsid w:val="00D0674C"/>
    <w:rsid w:val="00D13DDD"/>
    <w:rsid w:val="00D242BA"/>
    <w:rsid w:val="00D25F21"/>
    <w:rsid w:val="00D26F9F"/>
    <w:rsid w:val="00D319BA"/>
    <w:rsid w:val="00D35663"/>
    <w:rsid w:val="00D41FEF"/>
    <w:rsid w:val="00D7097F"/>
    <w:rsid w:val="00D83060"/>
    <w:rsid w:val="00D9029B"/>
    <w:rsid w:val="00DA133F"/>
    <w:rsid w:val="00DB19EA"/>
    <w:rsid w:val="00DB4210"/>
    <w:rsid w:val="00DB428A"/>
    <w:rsid w:val="00DC04FD"/>
    <w:rsid w:val="00DC1B0C"/>
    <w:rsid w:val="00DD1951"/>
    <w:rsid w:val="00DD7BCE"/>
    <w:rsid w:val="00DF38F3"/>
    <w:rsid w:val="00E01AE9"/>
    <w:rsid w:val="00E03060"/>
    <w:rsid w:val="00E1012C"/>
    <w:rsid w:val="00E15732"/>
    <w:rsid w:val="00E22BA1"/>
    <w:rsid w:val="00E22ECA"/>
    <w:rsid w:val="00E36BFB"/>
    <w:rsid w:val="00E36E50"/>
    <w:rsid w:val="00E42974"/>
    <w:rsid w:val="00E51E1F"/>
    <w:rsid w:val="00E56784"/>
    <w:rsid w:val="00E70CA5"/>
    <w:rsid w:val="00E768B3"/>
    <w:rsid w:val="00E815CE"/>
    <w:rsid w:val="00E96D83"/>
    <w:rsid w:val="00EB5152"/>
    <w:rsid w:val="00EC1836"/>
    <w:rsid w:val="00ED3544"/>
    <w:rsid w:val="00ED739E"/>
    <w:rsid w:val="00EE2944"/>
    <w:rsid w:val="00EE7D5B"/>
    <w:rsid w:val="00EF0772"/>
    <w:rsid w:val="00EF112B"/>
    <w:rsid w:val="00EF60ED"/>
    <w:rsid w:val="00F034BA"/>
    <w:rsid w:val="00F114E0"/>
    <w:rsid w:val="00F11EF3"/>
    <w:rsid w:val="00F1311D"/>
    <w:rsid w:val="00F13FFD"/>
    <w:rsid w:val="00F1578C"/>
    <w:rsid w:val="00F304BD"/>
    <w:rsid w:val="00F360A6"/>
    <w:rsid w:val="00F36C54"/>
    <w:rsid w:val="00F4152B"/>
    <w:rsid w:val="00F45E5D"/>
    <w:rsid w:val="00F524DA"/>
    <w:rsid w:val="00F52D8E"/>
    <w:rsid w:val="00F57795"/>
    <w:rsid w:val="00F57FC9"/>
    <w:rsid w:val="00F64756"/>
    <w:rsid w:val="00F94EF6"/>
    <w:rsid w:val="00F95A1F"/>
    <w:rsid w:val="00F96E21"/>
    <w:rsid w:val="00F97CFE"/>
    <w:rsid w:val="00FA3D8A"/>
    <w:rsid w:val="00FA4408"/>
    <w:rsid w:val="00FA7C17"/>
    <w:rsid w:val="00FB35AF"/>
    <w:rsid w:val="00FB396E"/>
    <w:rsid w:val="00FC1668"/>
    <w:rsid w:val="00FC1E7C"/>
    <w:rsid w:val="00FC2ADC"/>
    <w:rsid w:val="00FC554A"/>
    <w:rsid w:val="00FD0CA8"/>
    <w:rsid w:val="00FD42FF"/>
    <w:rsid w:val="00FE2ABC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1F0F"/>
  <w15:chartTrackingRefBased/>
  <w15:docId w15:val="{BA3DBEAA-AC70-4E0D-960D-288322D3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F8"/>
  </w:style>
  <w:style w:type="paragraph" w:styleId="Heading1">
    <w:name w:val="heading 1"/>
    <w:basedOn w:val="Normal"/>
    <w:next w:val="Normal"/>
    <w:link w:val="Heading1Char"/>
    <w:uiPriority w:val="9"/>
    <w:qFormat/>
    <w:rsid w:val="00650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8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71C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71CC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7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0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60BD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2344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8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ms.gov/medicare/payment/part-b-drugs/asp-pricing-fi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ternalhealth.com/wp-content/uploads/2022/10/eternalHealth_MA-Part-B-PA-List-eff-1-1-202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ne.com/download/pdf/phesgo_prescribing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rjeta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xadvance.carewebqi.com/GuidelineViewer.aspx/cver28.0/ac/ac_04425.htm?args=AQAAANCMnd8BFdERjHoAwE_Cl-sBAAAAtogmHFeQDkyCDKJTPYzHqAQAAAACAAAAAAAQZgAAAAEAACAAAACkOoYl4WXT9GksNfYXC3vyMT64tKJeF6Ayvc3HpXNKRwAAAAAOgAAAAAIAACAAAAB6lrAlBjkfkZZxhptRyYJWvOqFPVx-phR8HWDio7g0FxAAAADYhQ9cY14ngIVI6nnmwwBEQAAAAE-8fHo1-IZyl4HzrahVzbeA7yRz05SRWXiEKNZx8H64ervYb-ERafFQrFE9RU-eq-_gwpFnwME7lJa1230ynpI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3728796F1AF49AA5EE7049D0CA2DC" ma:contentTypeVersion="14" ma:contentTypeDescription="Create a new document." ma:contentTypeScope="" ma:versionID="65de5af41dbab921a85d81f10df3da20">
  <xsd:schema xmlns:xsd="http://www.w3.org/2001/XMLSchema" xmlns:xs="http://www.w3.org/2001/XMLSchema" xmlns:p="http://schemas.microsoft.com/office/2006/metadata/properties" xmlns:ns2="febe0462-7ad9-4cf3-8274-aa0cc4f080f3" xmlns:ns3="2498f20f-782f-4f87-afd5-421022d6a89d" targetNamespace="http://schemas.microsoft.com/office/2006/metadata/properties" ma:root="true" ma:fieldsID="0bf25b7367e3d42f5cee4169929b16ed" ns2:_="" ns3:_="">
    <xsd:import namespace="febe0462-7ad9-4cf3-8274-aa0cc4f080f3"/>
    <xsd:import namespace="2498f20f-782f-4f87-afd5-421022d6a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0462-7ad9-4cf3-8274-aa0cc4f08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46684a-a19c-4d21-91c6-41048820a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8f20f-782f-4f87-afd5-421022d6a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65e6f0-0859-4a49-ae1b-b418d9cfe567}" ma:internalName="TaxCatchAll" ma:showField="CatchAllData" ma:web="2498f20f-782f-4f87-afd5-421022d6a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e0462-7ad9-4cf3-8274-aa0cc4f080f3">
      <Terms xmlns="http://schemas.microsoft.com/office/infopath/2007/PartnerControls"/>
    </lcf76f155ced4ddcb4097134ff3c332f>
    <TaxCatchAll xmlns="2498f20f-782f-4f87-afd5-421022d6a8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14ED3-F412-4EE4-9FD5-9D1453D8F93B}"/>
</file>

<file path=customXml/itemProps2.xml><?xml version="1.0" encoding="utf-8"?>
<ds:datastoreItem xmlns:ds="http://schemas.openxmlformats.org/officeDocument/2006/customXml" ds:itemID="{860CF4EE-56B7-4BC8-9965-1CCC54DC1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ba3640-328d-449a-9f7d-a6e0f48b18e2"/>
    <ds:schemaRef ds:uri="8a5f5284-53ab-4ff8-b83a-40cadec04070"/>
  </ds:schemaRefs>
</ds:datastoreItem>
</file>

<file path=customXml/itemProps3.xml><?xml version="1.0" encoding="utf-8"?>
<ds:datastoreItem xmlns:ds="http://schemas.openxmlformats.org/officeDocument/2006/customXml" ds:itemID="{89D7D37D-E0D8-46F7-BEDF-FFBFBD885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Cardinal</dc:creator>
  <cp:keywords/>
  <dc:description/>
  <cp:lastModifiedBy>John Vellutato</cp:lastModifiedBy>
  <cp:revision>4</cp:revision>
  <dcterms:created xsi:type="dcterms:W3CDTF">2025-04-09T14:04:00Z</dcterms:created>
  <dcterms:modified xsi:type="dcterms:W3CDTF">2025-07-28T19:23:00Z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0x0101004673728796F1AF49AA5EE7049D0CA2DC</vt:lpwstr>
  </property>
</Properties>
</file>