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1E23" w14:textId="739D08A7" w:rsidR="00682D71" w:rsidRDefault="00171CC3">
      <w:r>
        <w:rPr>
          <w:noProof/>
        </w:rPr>
        <w:drawing>
          <wp:anchor distT="0" distB="0" distL="114300" distR="114300" simplePos="0" relativeHeight="251659264" behindDoc="1" locked="0" layoutInCell="1" allowOverlap="1" wp14:anchorId="6A61DFF5" wp14:editId="6318911E">
            <wp:simplePos x="0" y="0"/>
            <wp:positionH relativeFrom="column">
              <wp:posOffset>1060704</wp:posOffset>
            </wp:positionH>
            <wp:positionV relativeFrom="paragraph">
              <wp:posOffset>17290</wp:posOffset>
            </wp:positionV>
            <wp:extent cx="3721100" cy="644869"/>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21100" cy="644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6E08" w14:textId="77777777" w:rsidR="00171CC3" w:rsidRPr="00171CC3" w:rsidRDefault="00171CC3" w:rsidP="00171CC3"/>
    <w:p w14:paraId="45427FC3" w14:textId="77777777" w:rsidR="00171CC3" w:rsidRPr="00A95390" w:rsidRDefault="00171CC3" w:rsidP="00171CC3">
      <w:pPr>
        <w:widowControl w:val="0"/>
        <w:autoSpaceDE w:val="0"/>
        <w:autoSpaceDN w:val="0"/>
        <w:spacing w:before="40" w:line="305" w:lineRule="auto"/>
        <w:ind w:right="432"/>
        <w:rPr>
          <w:rFonts w:ascii="Montserrat" w:eastAsia="Calibri" w:hAnsi="Montserrat" w:cs="Calibri"/>
          <w:color w:val="4A9EFF"/>
          <w:sz w:val="44"/>
          <w:szCs w:val="54"/>
          <w:lang w:bidi="en-US"/>
        </w:rPr>
      </w:pPr>
      <w:r w:rsidRPr="00A95390">
        <w:rPr>
          <w:rFonts w:ascii="Montserrat" w:eastAsia="Calibri" w:hAnsi="Montserrat" w:cs="Calibri"/>
          <w:noProof/>
          <w:lang w:bidi="en-US"/>
        </w:rPr>
        <mc:AlternateContent>
          <mc:Choice Requires="wps">
            <w:drawing>
              <wp:anchor distT="0" distB="0" distL="114300" distR="114300" simplePos="0" relativeHeight="251662336" behindDoc="0" locked="0" layoutInCell="1" allowOverlap="1" wp14:anchorId="29894559" wp14:editId="12363257">
                <wp:simplePos x="0" y="0"/>
                <wp:positionH relativeFrom="margin">
                  <wp:align>right</wp:align>
                </wp:positionH>
                <wp:positionV relativeFrom="paragraph">
                  <wp:posOffset>335915</wp:posOffset>
                </wp:positionV>
                <wp:extent cx="591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1F7BCE"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26.45pt" to="880.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" strokecolor="#64ce3a" strokeweight="1.5pt">
                <v:stroke joinstyle="miter"/>
                <w10:wrap anchorx="margin"/>
              </v:line>
            </w:pict>
          </mc:Fallback>
        </mc:AlternateContent>
      </w:r>
    </w:p>
    <w:p w14:paraId="232C432B"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Times New Roman"/>
          <w:color w:val="00AEDB"/>
          <w:sz w:val="24"/>
          <w:szCs w:val="24"/>
        </w:rPr>
      </w:pPr>
    </w:p>
    <w:p w14:paraId="74198E9A"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171CC3">
        <w:rPr>
          <w:rFonts w:ascii="Futura" w:eastAsia="Calibri" w:hAnsi="Futura" w:cs="Calibri"/>
          <w:b/>
          <w:bCs/>
          <w:color w:val="00AEDB"/>
          <w:sz w:val="24"/>
          <w:szCs w:val="24"/>
          <w:lang w:bidi="en-US"/>
        </w:rPr>
        <w:t xml:space="preserve">Policy and Procedure </w:t>
      </w:r>
    </w:p>
    <w:p w14:paraId="13809CD0" w14:textId="0A07DA93" w:rsidR="00171CC3" w:rsidRPr="00171CC3" w:rsidRDefault="00420F85"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Pr>
          <w:rFonts w:ascii="Futura" w:eastAsia="Calibri" w:hAnsi="Futura" w:cs="Calibri"/>
          <w:b/>
          <w:bCs/>
          <w:color w:val="00AEDB"/>
          <w:sz w:val="24"/>
          <w:szCs w:val="24"/>
          <w:lang w:bidi="en-US"/>
        </w:rPr>
        <w:t>Rituximab</w:t>
      </w:r>
    </w:p>
    <w:p w14:paraId="480C9C92" w14:textId="085DB153" w:rsidR="00171CC3" w:rsidRPr="005226EB"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POLICY #</w:t>
      </w:r>
      <w:r w:rsidR="0033442B" w:rsidRPr="005226EB">
        <w:rPr>
          <w:rFonts w:ascii="Futura" w:eastAsia="Calibri" w:hAnsi="Futura" w:cs="Calibri"/>
          <w:b/>
          <w:bCs/>
          <w:color w:val="00AEDB"/>
          <w:sz w:val="24"/>
          <w:szCs w:val="24"/>
          <w:lang w:bidi="en-US"/>
        </w:rPr>
        <w:t xml:space="preserve"> </w:t>
      </w:r>
      <w:r w:rsidR="0083268A">
        <w:rPr>
          <w:rFonts w:ascii="Futura" w:eastAsia="Calibri" w:hAnsi="Futura" w:cs="Calibri"/>
          <w:b/>
          <w:bCs/>
          <w:color w:val="00AEDB"/>
          <w:sz w:val="24"/>
          <w:szCs w:val="24"/>
          <w:lang w:bidi="en-US"/>
        </w:rPr>
        <w:t>UMST-10</w:t>
      </w:r>
    </w:p>
    <w:p w14:paraId="26DF720B" w14:textId="3A97F0F8"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 xml:space="preserve">Version: </w:t>
      </w:r>
      <w:r w:rsidR="00E15732">
        <w:rPr>
          <w:rFonts w:ascii="Futura" w:eastAsia="Calibri" w:hAnsi="Futura" w:cs="Calibri"/>
          <w:b/>
          <w:bCs/>
          <w:color w:val="00AEDB"/>
          <w:sz w:val="24"/>
          <w:szCs w:val="24"/>
          <w:lang w:bidi="en-US"/>
        </w:rPr>
        <w:t>1</w:t>
      </w:r>
      <w:r w:rsidR="001A17A5">
        <w:rPr>
          <w:rFonts w:ascii="Futura" w:eastAsia="Calibri" w:hAnsi="Futura" w:cs="Calibri"/>
          <w:b/>
          <w:bCs/>
          <w:color w:val="00AEDB"/>
          <w:sz w:val="24"/>
          <w:szCs w:val="24"/>
          <w:lang w:bidi="en-US"/>
        </w:rPr>
        <w:t>.0</w:t>
      </w:r>
      <w:r w:rsidR="00C11B4C">
        <w:rPr>
          <w:rFonts w:ascii="Futura" w:eastAsia="Calibri" w:hAnsi="Futura" w:cs="Calibri"/>
          <w:b/>
          <w:bCs/>
          <w:color w:val="00AEDB"/>
          <w:sz w:val="24"/>
          <w:szCs w:val="24"/>
          <w:lang w:bidi="en-US"/>
        </w:rPr>
        <w:t xml:space="preserve"> </w:t>
      </w:r>
      <w:r w:rsidR="0033442B" w:rsidRPr="005226EB">
        <w:rPr>
          <w:rFonts w:ascii="Futura" w:eastAsia="Calibri" w:hAnsi="Futura" w:cs="Calibri"/>
          <w:b/>
          <w:bCs/>
          <w:color w:val="00AEDB"/>
          <w:sz w:val="24"/>
          <w:szCs w:val="24"/>
          <w:lang w:bidi="en-US"/>
        </w:rPr>
        <w:t xml:space="preserve"> </w:t>
      </w:r>
    </w:p>
    <w:p w14:paraId="6526E423" w14:textId="77777777" w:rsidR="00171CC3" w:rsidRDefault="00171CC3" w:rsidP="00171CC3">
      <w:pPr>
        <w:widowControl w:val="0"/>
        <w:autoSpaceDE w:val="0"/>
        <w:autoSpaceDN w:val="0"/>
        <w:spacing w:line="240" w:lineRule="auto"/>
        <w:rPr>
          <w:rFonts w:ascii="Futura" w:eastAsia="Calibri" w:hAnsi="Futura" w:cs="Calibri"/>
          <w:color w:val="4A9EFF"/>
          <w:sz w:val="24"/>
          <w:szCs w:val="24"/>
          <w:lang w:bidi="en-US"/>
        </w:rPr>
      </w:pPr>
    </w:p>
    <w:p w14:paraId="712B0DD6" w14:textId="77777777" w:rsidR="00320403" w:rsidRDefault="00171CC3" w:rsidP="00320403">
      <w:pPr>
        <w:widowControl w:val="0"/>
        <w:autoSpaceDE w:val="0"/>
        <w:autoSpaceDN w:val="0"/>
        <w:spacing w:line="240" w:lineRule="auto"/>
        <w:rPr>
          <w:rFonts w:ascii="Futura" w:hAnsi="Futura"/>
          <w:b/>
          <w:bCs/>
          <w:color w:val="00AEDB"/>
          <w:sz w:val="24"/>
          <w:szCs w:val="24"/>
        </w:rPr>
      </w:pPr>
      <w:r w:rsidRPr="00171CC3">
        <w:rPr>
          <w:rFonts w:ascii="Futura" w:eastAsia="Calibri" w:hAnsi="Futura" w:cs="Calibri"/>
          <w:noProof/>
          <w:sz w:val="24"/>
          <w:szCs w:val="24"/>
          <w:lang w:bidi="en-US"/>
        </w:rPr>
        <mc:AlternateContent>
          <mc:Choice Requires="wps">
            <w:drawing>
              <wp:anchor distT="0" distB="0" distL="114300" distR="114300" simplePos="0" relativeHeight="251661312" behindDoc="0" locked="0" layoutInCell="1" allowOverlap="1" wp14:anchorId="4435E043" wp14:editId="61E94E11">
                <wp:simplePos x="0" y="0"/>
                <wp:positionH relativeFrom="margin">
                  <wp:align>left</wp:align>
                </wp:positionH>
                <wp:positionV relativeFrom="paragraph">
                  <wp:posOffset>8255</wp:posOffset>
                </wp:positionV>
                <wp:extent cx="591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88B415" id="Straight Connector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" strokecolor="#64ce3a" strokeweight="1.5pt">
                <v:stroke joinstyle="miter"/>
                <w10:wrap anchorx="margin"/>
              </v:line>
            </w:pict>
          </mc:Fallback>
        </mc:AlternateContent>
      </w:r>
    </w:p>
    <w:tbl>
      <w:tblPr>
        <w:tblStyle w:val="GridTable1Light"/>
        <w:tblW w:w="0" w:type="auto"/>
        <w:tblLook w:val="04A0" w:firstRow="1" w:lastRow="0" w:firstColumn="1" w:lastColumn="0" w:noHBand="0" w:noVBand="1"/>
      </w:tblPr>
      <w:tblGrid>
        <w:gridCol w:w="1615"/>
        <w:gridCol w:w="2880"/>
        <w:gridCol w:w="1890"/>
        <w:gridCol w:w="2945"/>
      </w:tblGrid>
      <w:tr w:rsidR="00320403" w14:paraId="0538398F" w14:textId="77777777" w:rsidTr="0032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BECC85" w14:textId="77777777" w:rsidR="00320403" w:rsidRPr="00E15732" w:rsidRDefault="00320403">
            <w:pPr>
              <w:widowControl w:val="0"/>
              <w:autoSpaceDE w:val="0"/>
              <w:autoSpaceDN w:val="0"/>
              <w:rPr>
                <w:rFonts w:ascii="Futura" w:eastAsia="Calibri" w:hAnsi="Futura" w:cs="Calibri"/>
                <w:color w:val="000000"/>
                <w:sz w:val="20"/>
                <w:szCs w:val="20"/>
                <w:lang w:bidi="en-US"/>
              </w:rPr>
            </w:pPr>
            <w:r w:rsidRPr="00E15732">
              <w:rPr>
                <w:rFonts w:ascii="Futura" w:eastAsia="Calibri" w:hAnsi="Futura" w:cs="Calibri"/>
                <w:color w:val="000000"/>
                <w:sz w:val="20"/>
                <w:szCs w:val="20"/>
                <w:lang w:bidi="en-US"/>
              </w:rPr>
              <w:t>Binder:</w:t>
            </w:r>
          </w:p>
        </w:tc>
        <w:tc>
          <w:tcPr>
            <w:tcW w:w="2880" w:type="dxa"/>
            <w:tcBorders>
              <w:top w:val="single" w:sz="4" w:space="0" w:color="999999" w:themeColor="text1" w:themeTint="66"/>
              <w:left w:val="single" w:sz="4" w:space="0" w:color="999999" w:themeColor="text1" w:themeTint="66"/>
              <w:right w:val="single" w:sz="4" w:space="0" w:color="999999" w:themeColor="text1" w:themeTint="66"/>
            </w:tcBorders>
          </w:tcPr>
          <w:p w14:paraId="522CD696" w14:textId="7D1CC67B" w:rsidR="00320403" w:rsidRDefault="0083268A" w:rsidP="00CD77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UM</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311E06" w14:textId="77777777" w:rsidR="00320403" w:rsidRDefault="0032040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Department:</w:t>
            </w:r>
          </w:p>
        </w:tc>
        <w:tc>
          <w:tcPr>
            <w:tcW w:w="29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0598461" w14:textId="7076B979" w:rsidR="00320403" w:rsidRDefault="00D001BF">
            <w:pPr>
              <w:spacing w:line="276" w:lineRule="auto"/>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Medical Management-UM</w:t>
            </w:r>
          </w:p>
        </w:tc>
      </w:tr>
      <w:tr w:rsidR="00320403" w14:paraId="5988EF9A"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4DEE4"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Policy Contact:</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7C508" w14:textId="29E7A96B" w:rsidR="00320403" w:rsidRDefault="0083268A">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VP Pharmacy</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7C54"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Effective Date:</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7473BD" w14:textId="20DDDA87" w:rsidR="00320403" w:rsidRDefault="00C412CA">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1</w:t>
            </w:r>
            <w:r w:rsidR="00D001BF">
              <w:rPr>
                <w:rFonts w:ascii="Futura" w:eastAsia="Calibri" w:hAnsi="Futura" w:cs="Calibri"/>
                <w:color w:val="000000"/>
                <w:sz w:val="20"/>
                <w:szCs w:val="20"/>
                <w:lang w:bidi="en-US"/>
              </w:rPr>
              <w:t>/1/2</w:t>
            </w:r>
            <w:r>
              <w:rPr>
                <w:rFonts w:ascii="Futura" w:eastAsia="Calibri" w:hAnsi="Futura" w:cs="Calibri"/>
                <w:color w:val="000000"/>
                <w:sz w:val="20"/>
                <w:szCs w:val="20"/>
                <w:lang w:bidi="en-US"/>
              </w:rPr>
              <w:t>6</w:t>
            </w:r>
          </w:p>
        </w:tc>
      </w:tr>
      <w:tr w:rsidR="00320403" w14:paraId="0E783544"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CCDE5"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Date Last Reviewed:</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3BA10" w14:textId="4EAF7391" w:rsidR="00320403" w:rsidRDefault="00320403">
            <w:pPr>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5B2A2"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Date of Policy Committee Approval:</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2BAE2" w14:textId="0C145934" w:rsidR="00320403" w:rsidRPr="001A17A5" w:rsidRDefault="00320403" w:rsidP="001A17A5">
            <w:pPr>
              <w:spacing w:line="480"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r>
    </w:tbl>
    <w:p w14:paraId="34A017EB" w14:textId="77777777" w:rsidR="00320403" w:rsidRDefault="00320403" w:rsidP="00320403">
      <w:pPr>
        <w:widowControl w:val="0"/>
        <w:autoSpaceDE w:val="0"/>
        <w:autoSpaceDN w:val="0"/>
        <w:spacing w:line="240" w:lineRule="auto"/>
        <w:rPr>
          <w:rFonts w:ascii="Futura" w:eastAsia="Calibri" w:hAnsi="Futura" w:cs="Calibri"/>
          <w:b/>
          <w:bCs/>
          <w:color w:val="4A9EFF"/>
          <w:sz w:val="24"/>
          <w:szCs w:val="24"/>
          <w:lang w:bidi="en-US"/>
        </w:rPr>
      </w:pPr>
    </w:p>
    <w:tbl>
      <w:tblPr>
        <w:tblStyle w:val="TableGrid1"/>
        <w:tblW w:w="9345"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1546"/>
        <w:gridCol w:w="2510"/>
        <w:gridCol w:w="1880"/>
        <w:gridCol w:w="3409"/>
      </w:tblGrid>
      <w:tr w:rsidR="00320403" w14:paraId="47A77D58" w14:textId="77777777" w:rsidTr="00320403">
        <w:tc>
          <w:tcPr>
            <w:tcW w:w="9345" w:type="dxa"/>
            <w:gridSpan w:val="4"/>
            <w:tcBorders>
              <w:top w:val="single" w:sz="12" w:space="0" w:color="A5A5A5"/>
              <w:left w:val="single" w:sz="12" w:space="0" w:color="A5A5A5"/>
              <w:bottom w:val="single" w:sz="12" w:space="0" w:color="A5A5A5"/>
              <w:right w:val="single" w:sz="12" w:space="0" w:color="A5A5A5"/>
            </w:tcBorders>
            <w:hideMark/>
          </w:tcPr>
          <w:p w14:paraId="7CC25E45" w14:textId="77777777" w:rsidR="00320403" w:rsidRDefault="00320403">
            <w:pPr>
              <w:widowControl w:val="0"/>
              <w:autoSpaceDE w:val="0"/>
              <w:autoSpaceDN w:val="0"/>
              <w:jc w:val="center"/>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Revision/Approval History</w:t>
            </w:r>
          </w:p>
        </w:tc>
      </w:tr>
      <w:tr w:rsidR="00320403" w14:paraId="02459072" w14:textId="77777777" w:rsidTr="00320403">
        <w:tc>
          <w:tcPr>
            <w:tcW w:w="1546" w:type="dxa"/>
            <w:tcBorders>
              <w:top w:val="single" w:sz="12" w:space="0" w:color="A5A5A5"/>
              <w:left w:val="single" w:sz="12" w:space="0" w:color="A5A5A5"/>
              <w:bottom w:val="single" w:sz="12" w:space="0" w:color="A5A5A5"/>
              <w:right w:val="single" w:sz="12" w:space="0" w:color="A5A5A5"/>
            </w:tcBorders>
            <w:hideMark/>
          </w:tcPr>
          <w:p w14:paraId="7F80719B"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Date</w:t>
            </w:r>
          </w:p>
        </w:tc>
        <w:tc>
          <w:tcPr>
            <w:tcW w:w="2510" w:type="dxa"/>
            <w:tcBorders>
              <w:top w:val="single" w:sz="12" w:space="0" w:color="A5A5A5"/>
              <w:left w:val="single" w:sz="12" w:space="0" w:color="A5A5A5"/>
              <w:bottom w:val="single" w:sz="12" w:space="0" w:color="A5A5A5"/>
              <w:right w:val="single" w:sz="12" w:space="0" w:color="A5A5A5"/>
            </w:tcBorders>
            <w:hideMark/>
          </w:tcPr>
          <w:p w14:paraId="7D9342F0"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Name</w:t>
            </w:r>
          </w:p>
        </w:tc>
        <w:tc>
          <w:tcPr>
            <w:tcW w:w="1880" w:type="dxa"/>
            <w:tcBorders>
              <w:top w:val="single" w:sz="12" w:space="0" w:color="A5A5A5"/>
              <w:left w:val="single" w:sz="12" w:space="0" w:color="A5A5A5"/>
              <w:bottom w:val="single" w:sz="12" w:space="0" w:color="A5A5A5"/>
              <w:right w:val="single" w:sz="12" w:space="0" w:color="A5A5A5"/>
            </w:tcBorders>
            <w:hideMark/>
          </w:tcPr>
          <w:p w14:paraId="157BE64E"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Title</w:t>
            </w:r>
          </w:p>
        </w:tc>
        <w:tc>
          <w:tcPr>
            <w:tcW w:w="3409" w:type="dxa"/>
            <w:tcBorders>
              <w:top w:val="single" w:sz="12" w:space="0" w:color="A5A5A5"/>
              <w:left w:val="single" w:sz="12" w:space="0" w:color="A5A5A5"/>
              <w:bottom w:val="single" w:sz="12" w:space="0" w:color="A5A5A5"/>
              <w:right w:val="single" w:sz="12" w:space="0" w:color="A5A5A5"/>
            </w:tcBorders>
            <w:hideMark/>
          </w:tcPr>
          <w:p w14:paraId="4D3EEE37"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Description</w:t>
            </w:r>
          </w:p>
        </w:tc>
      </w:tr>
      <w:tr w:rsidR="00320403" w14:paraId="67145A5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1C31E6F" w14:textId="738F5D97" w:rsidR="00320403" w:rsidRDefault="0083268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75736AEE" w14:textId="40E4F33F" w:rsidR="00320403" w:rsidRDefault="00E768B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Policy &amp; Procedure Committee </w:t>
            </w:r>
          </w:p>
        </w:tc>
        <w:tc>
          <w:tcPr>
            <w:tcW w:w="1880" w:type="dxa"/>
            <w:tcBorders>
              <w:top w:val="single" w:sz="12" w:space="0" w:color="A5A5A5"/>
              <w:left w:val="single" w:sz="12" w:space="0" w:color="A5A5A5"/>
              <w:bottom w:val="single" w:sz="12" w:space="0" w:color="A5A5A5"/>
              <w:right w:val="single" w:sz="12" w:space="0" w:color="A5A5A5"/>
            </w:tcBorders>
          </w:tcPr>
          <w:p w14:paraId="67DA1ECD" w14:textId="1E238B31" w:rsidR="00320403" w:rsidRDefault="0083268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35DC7F81" w14:textId="45489438" w:rsidR="00320403" w:rsidRDefault="00CB5E28">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New policy. </w:t>
            </w:r>
          </w:p>
        </w:tc>
      </w:tr>
      <w:tr w:rsidR="00320403" w14:paraId="7973D708"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2D9C931" w14:textId="0D01E8F4" w:rsidR="00320403" w:rsidRDefault="0083268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480828A1" w14:textId="6362F8BE" w:rsidR="00320403" w:rsidRDefault="0083268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C0B7B6E" w14:textId="4F961A06" w:rsidR="00320403" w:rsidRDefault="0083268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5F8B2E15" w14:textId="4818297F" w:rsidR="00320403" w:rsidRDefault="0083268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New policy</w:t>
            </w:r>
          </w:p>
        </w:tc>
      </w:tr>
      <w:tr w:rsidR="00C412CA" w14:paraId="6348D59D"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AD6FBEF" w14:textId="3B00B077" w:rsidR="00C412CA" w:rsidRDefault="00C412C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8/4/25</w:t>
            </w:r>
          </w:p>
        </w:tc>
        <w:tc>
          <w:tcPr>
            <w:tcW w:w="2510" w:type="dxa"/>
            <w:tcBorders>
              <w:top w:val="single" w:sz="12" w:space="0" w:color="A5A5A5"/>
              <w:left w:val="single" w:sz="12" w:space="0" w:color="A5A5A5"/>
              <w:bottom w:val="single" w:sz="12" w:space="0" w:color="A5A5A5"/>
              <w:right w:val="single" w:sz="12" w:space="0" w:color="A5A5A5"/>
            </w:tcBorders>
          </w:tcPr>
          <w:p w14:paraId="448BD16C" w14:textId="0539AA2F" w:rsidR="00C412CA" w:rsidRDefault="00C412C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42EDEEA8" w14:textId="4C9D1F3E" w:rsidR="00C412CA" w:rsidRDefault="00C412CA">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Review</w:t>
            </w:r>
          </w:p>
        </w:tc>
        <w:tc>
          <w:tcPr>
            <w:tcW w:w="3409" w:type="dxa"/>
            <w:tcBorders>
              <w:top w:val="single" w:sz="12" w:space="0" w:color="A5A5A5"/>
              <w:left w:val="single" w:sz="12" w:space="0" w:color="A5A5A5"/>
              <w:bottom w:val="single" w:sz="12" w:space="0" w:color="A5A5A5"/>
              <w:right w:val="single" w:sz="12" w:space="0" w:color="A5A5A5"/>
            </w:tcBorders>
          </w:tcPr>
          <w:p w14:paraId="3CE97561" w14:textId="77777777" w:rsidR="00C412CA" w:rsidRDefault="00C412CA">
            <w:pPr>
              <w:widowControl w:val="0"/>
              <w:autoSpaceDE w:val="0"/>
              <w:autoSpaceDN w:val="0"/>
              <w:rPr>
                <w:rFonts w:ascii="Futura" w:eastAsia="Calibri" w:hAnsi="Futura" w:cs="Calibri"/>
                <w:color w:val="000000"/>
                <w:sz w:val="20"/>
                <w:szCs w:val="20"/>
                <w:lang w:bidi="en-US"/>
              </w:rPr>
            </w:pPr>
          </w:p>
        </w:tc>
      </w:tr>
    </w:tbl>
    <w:p w14:paraId="67C7852D" w14:textId="77777777" w:rsidR="00320403" w:rsidRDefault="00320403" w:rsidP="00320403">
      <w:pPr>
        <w:spacing w:after="0" w:line="240" w:lineRule="auto"/>
        <w:jc w:val="center"/>
        <w:rPr>
          <w:rFonts w:ascii="Futura" w:hAnsi="Futura"/>
          <w:color w:val="00AEDB"/>
          <w:sz w:val="24"/>
          <w:szCs w:val="24"/>
        </w:rPr>
      </w:pPr>
    </w:p>
    <w:p w14:paraId="6C4CF2DA" w14:textId="7777777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Policy:</w:t>
      </w:r>
    </w:p>
    <w:p w14:paraId="2ECE6697" w14:textId="164DFCC8" w:rsidR="00B60BDE" w:rsidRDefault="00B60BDE" w:rsidP="00554794">
      <w:pPr>
        <w:spacing w:after="0" w:line="240" w:lineRule="auto"/>
        <w:jc w:val="both"/>
        <w:rPr>
          <w:rFonts w:ascii="Futura" w:eastAsia="Calibri" w:hAnsi="Futura" w:cs="Calibri"/>
          <w:color w:val="000000"/>
          <w:sz w:val="20"/>
          <w:szCs w:val="20"/>
          <w:lang w:bidi="en-US"/>
        </w:rPr>
      </w:pPr>
    </w:p>
    <w:p w14:paraId="13E7F185" w14:textId="7086805A" w:rsidR="00581FB0" w:rsidRDefault="004F5EE3" w:rsidP="00554794">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This policy stands to show the criteria for and </w:t>
      </w:r>
      <w:r w:rsidR="00B413BB">
        <w:rPr>
          <w:rFonts w:ascii="Futura" w:eastAsia="Calibri" w:hAnsi="Futura" w:cs="Calibri"/>
          <w:color w:val="000000"/>
          <w:sz w:val="20"/>
          <w:szCs w:val="20"/>
          <w:lang w:bidi="en-US"/>
        </w:rPr>
        <w:t>preferencing</w:t>
      </w:r>
      <w:r w:rsidR="00827A7B">
        <w:rPr>
          <w:rFonts w:ascii="Futura" w:eastAsia="Calibri" w:hAnsi="Futura" w:cs="Calibri"/>
          <w:color w:val="000000"/>
          <w:sz w:val="20"/>
          <w:szCs w:val="20"/>
          <w:lang w:bidi="en-US"/>
        </w:rPr>
        <w:t xml:space="preserve"> agents within the </w:t>
      </w:r>
      <w:r w:rsidR="00171031">
        <w:rPr>
          <w:rFonts w:ascii="Futura" w:eastAsia="Calibri" w:hAnsi="Futura" w:cs="Calibri"/>
          <w:color w:val="000000"/>
          <w:sz w:val="20"/>
          <w:szCs w:val="20"/>
          <w:lang w:bidi="en-US"/>
        </w:rPr>
        <w:t xml:space="preserve">products of </w:t>
      </w:r>
      <w:r w:rsidR="00A6474E">
        <w:rPr>
          <w:rFonts w:ascii="Futura" w:eastAsia="Calibri" w:hAnsi="Futura" w:cs="Calibri"/>
          <w:color w:val="000000"/>
          <w:sz w:val="20"/>
          <w:szCs w:val="20"/>
          <w:lang w:bidi="en-US"/>
        </w:rPr>
        <w:t>rituxi</w:t>
      </w:r>
      <w:r w:rsidR="00171031">
        <w:rPr>
          <w:rFonts w:ascii="Futura" w:eastAsia="Calibri" w:hAnsi="Futura" w:cs="Calibri"/>
          <w:color w:val="000000"/>
          <w:sz w:val="20"/>
          <w:szCs w:val="20"/>
          <w:lang w:bidi="en-US"/>
        </w:rPr>
        <w:t>mab and its biosimilars</w:t>
      </w:r>
      <w:r w:rsidR="00827A7B">
        <w:rPr>
          <w:rFonts w:ascii="Futura" w:eastAsia="Calibri" w:hAnsi="Futura" w:cs="Calibri"/>
          <w:color w:val="000000"/>
          <w:sz w:val="20"/>
          <w:szCs w:val="20"/>
          <w:lang w:bidi="en-US"/>
        </w:rPr>
        <w:t xml:space="preserve">.  At the time of creation of this policy, there are </w:t>
      </w:r>
      <w:r w:rsidR="00800709">
        <w:rPr>
          <w:rFonts w:ascii="Futura" w:eastAsia="Calibri" w:hAnsi="Futura" w:cs="Calibri"/>
          <w:color w:val="000000"/>
          <w:sz w:val="20"/>
          <w:szCs w:val="20"/>
          <w:lang w:bidi="en-US"/>
        </w:rPr>
        <w:t>five</w:t>
      </w:r>
      <w:r w:rsidR="004B7D63">
        <w:rPr>
          <w:rFonts w:ascii="Futura" w:eastAsia="Calibri" w:hAnsi="Futura" w:cs="Calibri"/>
          <w:color w:val="000000"/>
          <w:sz w:val="20"/>
          <w:szCs w:val="20"/>
          <w:lang w:bidi="en-US"/>
        </w:rPr>
        <w:t xml:space="preserve"> agents to be reviewed</w:t>
      </w:r>
      <w:r w:rsidR="004807F3">
        <w:rPr>
          <w:rFonts w:ascii="Futura" w:eastAsia="Calibri" w:hAnsi="Futura" w:cs="Calibri"/>
          <w:color w:val="000000"/>
          <w:sz w:val="20"/>
          <w:szCs w:val="20"/>
          <w:lang w:bidi="en-US"/>
        </w:rPr>
        <w:t xml:space="preserve">.  The </w:t>
      </w:r>
      <w:r w:rsidR="00C71E74">
        <w:rPr>
          <w:rFonts w:ascii="Futura" w:eastAsia="Calibri" w:hAnsi="Futura" w:cs="Calibri"/>
          <w:color w:val="000000"/>
          <w:sz w:val="20"/>
          <w:szCs w:val="20"/>
          <w:lang w:bidi="en-US"/>
        </w:rPr>
        <w:t xml:space="preserve">review includes review of product package inserts for </w:t>
      </w:r>
      <w:r w:rsidR="00222323">
        <w:rPr>
          <w:rFonts w:ascii="Futura" w:eastAsia="Calibri" w:hAnsi="Futura" w:cs="Calibri"/>
          <w:color w:val="000000"/>
          <w:sz w:val="20"/>
          <w:szCs w:val="20"/>
          <w:lang w:bidi="en-US"/>
        </w:rPr>
        <w:t xml:space="preserve">FDA approved </w:t>
      </w:r>
      <w:r w:rsidR="00C71E74">
        <w:rPr>
          <w:rFonts w:ascii="Futura" w:eastAsia="Calibri" w:hAnsi="Futura" w:cs="Calibri"/>
          <w:color w:val="000000"/>
          <w:sz w:val="20"/>
          <w:szCs w:val="20"/>
          <w:lang w:bidi="en-US"/>
        </w:rPr>
        <w:t xml:space="preserve">indications and limitations, ASP pricing files updated quarterly, </w:t>
      </w:r>
      <w:r w:rsidR="00BB3294">
        <w:rPr>
          <w:rFonts w:ascii="Futura" w:eastAsia="Calibri" w:hAnsi="Futura" w:cs="Calibri"/>
          <w:color w:val="000000"/>
          <w:sz w:val="20"/>
          <w:szCs w:val="20"/>
          <w:lang w:bidi="en-US"/>
        </w:rPr>
        <w:t>any external evidence available through CMS approved compendia, NCD/LCD information</w:t>
      </w:r>
      <w:r w:rsidR="0029343B">
        <w:rPr>
          <w:rFonts w:ascii="Futura" w:eastAsia="Calibri" w:hAnsi="Futura" w:cs="Calibri"/>
          <w:color w:val="000000"/>
          <w:sz w:val="20"/>
          <w:szCs w:val="20"/>
          <w:lang w:bidi="en-US"/>
        </w:rPr>
        <w:t>, and the approved system used for clinical direction of the Utilization Management team</w:t>
      </w:r>
      <w:r w:rsidR="00006F2B">
        <w:rPr>
          <w:rFonts w:ascii="Futura" w:eastAsia="Calibri" w:hAnsi="Futura" w:cs="Calibri"/>
          <w:color w:val="000000"/>
          <w:sz w:val="20"/>
          <w:szCs w:val="20"/>
          <w:lang w:bidi="en-US"/>
        </w:rPr>
        <w:t xml:space="preserve"> for agents on the eternalHealth Medicare Part B Prior Auth list</w:t>
      </w:r>
      <w:r w:rsidR="00BB3294">
        <w:rPr>
          <w:rFonts w:ascii="Futura" w:eastAsia="Calibri" w:hAnsi="Futura" w:cs="Calibri"/>
          <w:color w:val="000000"/>
          <w:sz w:val="20"/>
          <w:szCs w:val="20"/>
          <w:lang w:bidi="en-US"/>
        </w:rPr>
        <w:t>.  T</w:t>
      </w:r>
      <w:r w:rsidR="00A85AC1">
        <w:rPr>
          <w:rFonts w:ascii="Futura" w:eastAsia="Calibri" w:hAnsi="Futura" w:cs="Calibri"/>
          <w:color w:val="000000"/>
          <w:sz w:val="20"/>
          <w:szCs w:val="20"/>
          <w:lang w:bidi="en-US"/>
        </w:rPr>
        <w:t>his information combined with a wholistic review of the members’ clinical profile will allow the eternalHealth team to arrive at a decision of clinical appropriateness and is not a guarantee of payment.</w:t>
      </w:r>
    </w:p>
    <w:p w14:paraId="7962C7E4" w14:textId="77777777" w:rsidR="00581FB0" w:rsidRDefault="00581FB0" w:rsidP="00554794">
      <w:pPr>
        <w:spacing w:after="0" w:line="240" w:lineRule="auto"/>
        <w:jc w:val="both"/>
        <w:rPr>
          <w:rFonts w:ascii="Futura" w:eastAsia="Calibri" w:hAnsi="Futura" w:cs="Calibri"/>
          <w:color w:val="000000"/>
          <w:sz w:val="20"/>
          <w:szCs w:val="20"/>
          <w:lang w:bidi="en-US"/>
        </w:rPr>
      </w:pPr>
    </w:p>
    <w:p w14:paraId="3982AFF4" w14:textId="77777777" w:rsidR="006B4DEF" w:rsidRDefault="006B4DEF" w:rsidP="00554794">
      <w:pPr>
        <w:spacing w:after="0" w:line="240" w:lineRule="auto"/>
        <w:jc w:val="both"/>
        <w:rPr>
          <w:rFonts w:ascii="Futura" w:eastAsia="Calibri" w:hAnsi="Futura" w:cs="Calibri"/>
          <w:color w:val="000000"/>
          <w:sz w:val="20"/>
          <w:szCs w:val="20"/>
          <w:lang w:bidi="en-US"/>
        </w:rPr>
      </w:pPr>
    </w:p>
    <w:p w14:paraId="026FADF5" w14:textId="77777777" w:rsidR="006B4DEF" w:rsidRDefault="006B4DEF" w:rsidP="00554794">
      <w:pPr>
        <w:spacing w:after="0" w:line="240" w:lineRule="auto"/>
        <w:jc w:val="both"/>
        <w:rPr>
          <w:rFonts w:ascii="Futura" w:eastAsia="Calibri" w:hAnsi="Futura" w:cs="Calibri"/>
          <w:color w:val="000000"/>
          <w:sz w:val="20"/>
          <w:szCs w:val="20"/>
          <w:lang w:bidi="en-US"/>
        </w:rPr>
      </w:pPr>
    </w:p>
    <w:p w14:paraId="43729D9F" w14:textId="77777777" w:rsidR="006B4DEF" w:rsidRDefault="006B4DEF" w:rsidP="00554794">
      <w:pPr>
        <w:spacing w:after="0" w:line="240" w:lineRule="auto"/>
        <w:jc w:val="both"/>
        <w:rPr>
          <w:rFonts w:ascii="Futura" w:eastAsia="Calibri" w:hAnsi="Futura" w:cs="Calibri"/>
          <w:color w:val="000000"/>
          <w:sz w:val="20"/>
          <w:szCs w:val="20"/>
          <w:lang w:bidi="en-US"/>
        </w:rPr>
      </w:pPr>
    </w:p>
    <w:p w14:paraId="204175A7" w14:textId="77777777" w:rsidR="006B4DEF" w:rsidRDefault="006B4DEF" w:rsidP="00554794">
      <w:pPr>
        <w:spacing w:after="0" w:line="240" w:lineRule="auto"/>
        <w:jc w:val="both"/>
        <w:rPr>
          <w:rFonts w:ascii="Futura" w:eastAsia="Calibri" w:hAnsi="Futura" w:cs="Calibri"/>
          <w:color w:val="000000"/>
          <w:sz w:val="20"/>
          <w:szCs w:val="20"/>
          <w:lang w:bidi="en-US"/>
        </w:rPr>
      </w:pPr>
    </w:p>
    <w:p w14:paraId="0561F283" w14:textId="77777777" w:rsidR="006B4DEF" w:rsidRDefault="006B4DEF" w:rsidP="00554794">
      <w:pPr>
        <w:spacing w:after="0" w:line="240" w:lineRule="auto"/>
        <w:jc w:val="both"/>
        <w:rPr>
          <w:rFonts w:ascii="Futura" w:eastAsia="Calibri" w:hAnsi="Futura" w:cs="Calibri"/>
          <w:color w:val="000000"/>
          <w:sz w:val="20"/>
          <w:szCs w:val="20"/>
          <w:lang w:bidi="en-US"/>
        </w:rPr>
      </w:pPr>
    </w:p>
    <w:p w14:paraId="585F5378" w14:textId="77777777" w:rsidR="006B4DEF" w:rsidRDefault="006B4DEF" w:rsidP="00554794">
      <w:pPr>
        <w:spacing w:after="0" w:line="240" w:lineRule="auto"/>
        <w:jc w:val="both"/>
        <w:rPr>
          <w:rFonts w:ascii="Futura" w:eastAsia="Calibri" w:hAnsi="Futura" w:cs="Calibri"/>
          <w:color w:val="000000"/>
          <w:sz w:val="20"/>
          <w:szCs w:val="20"/>
          <w:lang w:bidi="en-US"/>
        </w:rPr>
      </w:pPr>
    </w:p>
    <w:p w14:paraId="3BAEA1BC" w14:textId="77777777" w:rsidR="006B4DEF" w:rsidRDefault="006B4DEF" w:rsidP="00554794">
      <w:pPr>
        <w:spacing w:after="0" w:line="240" w:lineRule="auto"/>
        <w:jc w:val="both"/>
        <w:rPr>
          <w:rFonts w:ascii="Futura" w:eastAsia="Calibri" w:hAnsi="Futura" w:cs="Calibri"/>
          <w:color w:val="000000"/>
          <w:sz w:val="20"/>
          <w:szCs w:val="20"/>
          <w:lang w:bidi="en-US"/>
        </w:rPr>
      </w:pPr>
    </w:p>
    <w:p w14:paraId="76FC3136" w14:textId="77777777" w:rsidR="006B4DEF" w:rsidRDefault="006B4DEF" w:rsidP="00554794">
      <w:pPr>
        <w:spacing w:after="0" w:line="240" w:lineRule="auto"/>
        <w:jc w:val="both"/>
        <w:rPr>
          <w:rFonts w:ascii="Futura" w:eastAsia="Calibri" w:hAnsi="Futura" w:cs="Calibri"/>
          <w:color w:val="000000"/>
          <w:sz w:val="20"/>
          <w:szCs w:val="20"/>
          <w:lang w:bidi="en-US"/>
        </w:rPr>
      </w:pPr>
    </w:p>
    <w:p w14:paraId="3F4F53F3" w14:textId="77777777" w:rsidR="006B4DEF" w:rsidRDefault="006B4DEF" w:rsidP="00554794">
      <w:pPr>
        <w:spacing w:after="0" w:line="240" w:lineRule="auto"/>
        <w:jc w:val="both"/>
        <w:rPr>
          <w:rFonts w:ascii="Futura" w:eastAsia="Calibri" w:hAnsi="Futura" w:cs="Calibri"/>
          <w:color w:val="000000"/>
          <w:sz w:val="20"/>
          <w:szCs w:val="20"/>
          <w:lang w:bidi="en-US"/>
        </w:rPr>
      </w:pPr>
    </w:p>
    <w:p w14:paraId="7D6A9D68" w14:textId="77777777" w:rsidR="006B4DEF" w:rsidRDefault="006B4DEF" w:rsidP="00554794">
      <w:pPr>
        <w:spacing w:after="0" w:line="240" w:lineRule="auto"/>
        <w:jc w:val="both"/>
        <w:rPr>
          <w:rFonts w:ascii="Futura" w:eastAsia="Calibri" w:hAnsi="Futura" w:cs="Calibri"/>
          <w:color w:val="000000"/>
          <w:sz w:val="20"/>
          <w:szCs w:val="20"/>
          <w:lang w:bidi="en-US"/>
        </w:rPr>
      </w:pPr>
    </w:p>
    <w:p w14:paraId="211367FE" w14:textId="77777777" w:rsidR="00C92725" w:rsidRDefault="00C92725" w:rsidP="00C92725">
      <w:pPr>
        <w:spacing w:after="0" w:line="240" w:lineRule="auto"/>
        <w:jc w:val="both"/>
        <w:rPr>
          <w:rFonts w:ascii="Futura" w:hAnsi="Futura"/>
          <w:b/>
          <w:bCs/>
          <w:color w:val="00AEDB"/>
          <w:sz w:val="24"/>
          <w:szCs w:val="24"/>
        </w:rPr>
      </w:pPr>
      <w:r>
        <w:rPr>
          <w:rFonts w:ascii="Futura" w:hAnsi="Futura"/>
          <w:b/>
          <w:bCs/>
          <w:color w:val="00AEDB"/>
          <w:sz w:val="24"/>
          <w:szCs w:val="24"/>
        </w:rPr>
        <w:t>Summary:</w:t>
      </w:r>
    </w:p>
    <w:p w14:paraId="0089399E" w14:textId="77777777" w:rsidR="00C92725" w:rsidRDefault="00C92725" w:rsidP="00C92725">
      <w:pPr>
        <w:spacing w:after="0" w:line="240" w:lineRule="auto"/>
        <w:jc w:val="both"/>
        <w:rPr>
          <w:rFonts w:ascii="Futura" w:hAnsi="Futura"/>
          <w:b/>
          <w:bCs/>
          <w:color w:val="00AEDB"/>
          <w:sz w:val="24"/>
          <w:szCs w:val="24"/>
        </w:rPr>
      </w:pPr>
    </w:p>
    <w:p w14:paraId="2B741AAC" w14:textId="77777777" w:rsidR="00C92725" w:rsidRDefault="00C92725" w:rsidP="00C92725">
      <w:pPr>
        <w:pStyle w:val="ListParagraph"/>
        <w:numPr>
          <w:ilvl w:val="0"/>
          <w:numId w:val="99"/>
        </w:numPr>
        <w:spacing w:after="0" w:line="240" w:lineRule="auto"/>
        <w:jc w:val="both"/>
        <w:rPr>
          <w:rFonts w:ascii="Futura" w:hAnsi="Futura"/>
          <w:b/>
          <w:bCs/>
          <w:color w:val="00AEDB"/>
          <w:sz w:val="24"/>
          <w:szCs w:val="24"/>
        </w:rPr>
      </w:pPr>
      <w:r>
        <w:rPr>
          <w:rFonts w:ascii="Futura" w:hAnsi="Futura"/>
          <w:b/>
          <w:bCs/>
          <w:color w:val="00AEDB"/>
          <w:sz w:val="24"/>
          <w:szCs w:val="24"/>
        </w:rPr>
        <w:t>All agents injected in the office will require prior authorization review for medical necessity</w:t>
      </w:r>
    </w:p>
    <w:p w14:paraId="202FFBC6" w14:textId="7DFC54B2" w:rsidR="00C92725" w:rsidRDefault="00C92725" w:rsidP="00C92725">
      <w:pPr>
        <w:pStyle w:val="ListParagraph"/>
        <w:numPr>
          <w:ilvl w:val="1"/>
          <w:numId w:val="99"/>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 is for </w:t>
      </w:r>
      <w:r w:rsidR="005075C8">
        <w:rPr>
          <w:rFonts w:ascii="Futura" w:hAnsi="Futura"/>
          <w:b/>
          <w:bCs/>
          <w:color w:val="00AEDB"/>
          <w:sz w:val="24"/>
          <w:szCs w:val="24"/>
        </w:rPr>
        <w:t>Ruxience or Truxima</w:t>
      </w:r>
      <w:r>
        <w:rPr>
          <w:rFonts w:ascii="Futura" w:hAnsi="Futura"/>
          <w:b/>
          <w:bCs/>
          <w:color w:val="00AEDB"/>
          <w:sz w:val="24"/>
          <w:szCs w:val="24"/>
        </w:rPr>
        <w:t xml:space="preserve"> and determined to be medically necessary, it may be approved</w:t>
      </w:r>
    </w:p>
    <w:p w14:paraId="6BDA9E40" w14:textId="53DB1DCF" w:rsidR="00C92725" w:rsidRDefault="00C92725" w:rsidP="00C92725">
      <w:pPr>
        <w:pStyle w:val="ListParagraph"/>
        <w:numPr>
          <w:ilvl w:val="1"/>
          <w:numId w:val="99"/>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 is for </w:t>
      </w:r>
      <w:r w:rsidR="005075C8">
        <w:rPr>
          <w:rFonts w:ascii="Futura" w:hAnsi="Futura"/>
          <w:b/>
          <w:bCs/>
          <w:color w:val="00AEDB"/>
          <w:sz w:val="24"/>
          <w:szCs w:val="24"/>
        </w:rPr>
        <w:t>Riabni, Rituxan, or Rituxan Hycela</w:t>
      </w:r>
      <w:r>
        <w:rPr>
          <w:rFonts w:ascii="Futura" w:hAnsi="Futura"/>
          <w:b/>
          <w:bCs/>
          <w:color w:val="00AEDB"/>
          <w:sz w:val="24"/>
          <w:szCs w:val="24"/>
        </w:rPr>
        <w:t xml:space="preserve"> there must be a history of </w:t>
      </w:r>
      <w:r w:rsidR="005075C8">
        <w:rPr>
          <w:rFonts w:ascii="Futura" w:hAnsi="Futura"/>
          <w:b/>
          <w:bCs/>
          <w:color w:val="00AEDB"/>
          <w:sz w:val="24"/>
          <w:szCs w:val="24"/>
        </w:rPr>
        <w:t>Ruxience or Truxima</w:t>
      </w:r>
      <w:r>
        <w:rPr>
          <w:rFonts w:ascii="Futura" w:hAnsi="Futura"/>
          <w:b/>
          <w:bCs/>
          <w:color w:val="00AEDB"/>
          <w:sz w:val="24"/>
          <w:szCs w:val="24"/>
        </w:rPr>
        <w:t xml:space="preserve"> documented in the medical record and the lack of clinical response to that agent</w:t>
      </w:r>
    </w:p>
    <w:p w14:paraId="3CF5F21A" w14:textId="77777777" w:rsidR="00C92725" w:rsidRDefault="00C92725" w:rsidP="00C92725">
      <w:pPr>
        <w:pStyle w:val="ListParagraph"/>
        <w:numPr>
          <w:ilvl w:val="0"/>
          <w:numId w:val="99"/>
        </w:numPr>
        <w:spacing w:after="0" w:line="240" w:lineRule="auto"/>
        <w:jc w:val="both"/>
        <w:rPr>
          <w:rFonts w:ascii="Futura" w:hAnsi="Futura"/>
          <w:b/>
          <w:bCs/>
          <w:color w:val="00AEDB"/>
          <w:sz w:val="24"/>
          <w:szCs w:val="24"/>
        </w:rPr>
      </w:pPr>
      <w:r>
        <w:rPr>
          <w:rFonts w:ascii="Futura" w:hAnsi="Futura"/>
          <w:b/>
          <w:bCs/>
          <w:color w:val="00AEDB"/>
          <w:sz w:val="24"/>
          <w:szCs w:val="24"/>
        </w:rPr>
        <w:t>An exception to step therapy will be considered if:</w:t>
      </w:r>
    </w:p>
    <w:p w14:paraId="4255A071" w14:textId="77777777" w:rsidR="00C92725" w:rsidRPr="00732065" w:rsidRDefault="00C92725" w:rsidP="00C92725">
      <w:pPr>
        <w:pStyle w:val="ListParagraph"/>
        <w:numPr>
          <w:ilvl w:val="1"/>
          <w:numId w:val="99"/>
        </w:numPr>
        <w:spacing w:after="0" w:line="240" w:lineRule="auto"/>
        <w:jc w:val="both"/>
        <w:rPr>
          <w:rFonts w:ascii="Futura" w:hAnsi="Futura"/>
          <w:b/>
          <w:bCs/>
          <w:color w:val="00AEDB"/>
          <w:sz w:val="24"/>
          <w:szCs w:val="24"/>
        </w:rPr>
      </w:pPr>
      <w:r>
        <w:rPr>
          <w:rFonts w:ascii="Futura" w:hAnsi="Futura"/>
          <w:b/>
          <w:bCs/>
          <w:color w:val="00AEDB"/>
          <w:sz w:val="24"/>
          <w:szCs w:val="24"/>
        </w:rPr>
        <w:t xml:space="preserve">There is specific </w:t>
      </w:r>
      <w:r w:rsidRPr="00732065">
        <w:rPr>
          <w:rFonts w:ascii="Futura" w:hAnsi="Futura"/>
          <w:b/>
          <w:bCs/>
          <w:color w:val="00AEDB"/>
          <w:sz w:val="24"/>
          <w:szCs w:val="24"/>
        </w:rPr>
        <w:t xml:space="preserve">documentation of inadequate response, contraindication, adverse event or otherwise </w:t>
      </w:r>
      <w:r>
        <w:rPr>
          <w:rFonts w:ascii="Futura" w:hAnsi="Futura"/>
          <w:b/>
          <w:bCs/>
          <w:color w:val="00AEDB"/>
          <w:sz w:val="24"/>
          <w:szCs w:val="24"/>
        </w:rPr>
        <w:t>d</w:t>
      </w:r>
      <w:r w:rsidRPr="00732065">
        <w:rPr>
          <w:rFonts w:ascii="Futura" w:hAnsi="Futura"/>
          <w:b/>
          <w:bCs/>
          <w:color w:val="00AEDB"/>
          <w:sz w:val="24"/>
          <w:szCs w:val="24"/>
        </w:rPr>
        <w:t>emonstrated for a preferred agent if requesting a secondary agent, and for preferred and secondary agents if requesting a tertiary agent.</w:t>
      </w:r>
    </w:p>
    <w:p w14:paraId="69F8F673" w14:textId="1D1DFBCB" w:rsidR="00C92725" w:rsidRDefault="00C92725" w:rsidP="00C92725">
      <w:pPr>
        <w:pStyle w:val="ListParagraph"/>
        <w:numPr>
          <w:ilvl w:val="1"/>
          <w:numId w:val="99"/>
        </w:numPr>
        <w:spacing w:after="0" w:line="240" w:lineRule="auto"/>
        <w:jc w:val="both"/>
        <w:rPr>
          <w:rFonts w:ascii="Futura" w:hAnsi="Futura"/>
          <w:b/>
          <w:bCs/>
          <w:color w:val="00AEDB"/>
          <w:sz w:val="24"/>
          <w:szCs w:val="24"/>
        </w:rPr>
      </w:pPr>
      <w:r>
        <w:rPr>
          <w:rFonts w:ascii="Futura" w:hAnsi="Futura"/>
          <w:b/>
          <w:bCs/>
          <w:color w:val="00AEDB"/>
          <w:sz w:val="24"/>
          <w:szCs w:val="24"/>
        </w:rPr>
        <w:t>Request contains</w:t>
      </w:r>
      <w:r w:rsidRPr="00732065">
        <w:rPr>
          <w:rFonts w:ascii="Futura" w:hAnsi="Futura"/>
          <w:b/>
          <w:bCs/>
          <w:color w:val="00AEDB"/>
          <w:sz w:val="24"/>
          <w:szCs w:val="24"/>
        </w:rPr>
        <w:t xml:space="preserve"> documentation of a continuation of therapy within the past </w:t>
      </w:r>
      <w:r w:rsidR="00E82A34">
        <w:rPr>
          <w:rFonts w:ascii="Futura" w:hAnsi="Futura"/>
          <w:b/>
          <w:bCs/>
          <w:color w:val="00AEDB"/>
          <w:sz w:val="24"/>
          <w:szCs w:val="24"/>
        </w:rPr>
        <w:t>365</w:t>
      </w:r>
      <w:r w:rsidRPr="00732065">
        <w:rPr>
          <w:rFonts w:ascii="Futura" w:hAnsi="Futura"/>
          <w:b/>
          <w:bCs/>
          <w:color w:val="00AEDB"/>
          <w:sz w:val="24"/>
          <w:szCs w:val="24"/>
        </w:rPr>
        <w:t xml:space="preserve"> days (if new) or if it is a reauthorization request.</w:t>
      </w:r>
    </w:p>
    <w:p w14:paraId="0F138D18" w14:textId="77777777" w:rsidR="00C92725" w:rsidRPr="00732065" w:rsidRDefault="00C92725" w:rsidP="00C92725">
      <w:pPr>
        <w:pStyle w:val="ListParagraph"/>
        <w:spacing w:after="0" w:line="240" w:lineRule="auto"/>
        <w:ind w:left="1440"/>
        <w:jc w:val="both"/>
        <w:rPr>
          <w:rFonts w:ascii="Futura" w:hAnsi="Futura"/>
          <w:b/>
          <w:bCs/>
          <w:color w:val="00AEDB"/>
          <w:sz w:val="24"/>
          <w:szCs w:val="24"/>
        </w:rPr>
      </w:pPr>
    </w:p>
    <w:p w14:paraId="7C189A19" w14:textId="77777777" w:rsidR="00C92725" w:rsidRDefault="00C92725" w:rsidP="00C92725">
      <w:pPr>
        <w:spacing w:after="0" w:line="240" w:lineRule="auto"/>
        <w:jc w:val="both"/>
        <w:rPr>
          <w:rFonts w:ascii="Futura" w:hAnsi="Futura"/>
          <w:b/>
          <w:bCs/>
          <w:color w:val="00AEDB"/>
          <w:sz w:val="24"/>
          <w:szCs w:val="24"/>
        </w:rPr>
      </w:pPr>
      <w:r w:rsidRPr="00732065">
        <w:rPr>
          <w:rFonts w:ascii="Futura" w:hAnsi="Futura"/>
          <w:b/>
          <w:bCs/>
          <w:color w:val="00AEDB"/>
          <w:sz w:val="24"/>
          <w:szCs w:val="24"/>
        </w:rPr>
        <w:t>In either of the above situations, the product being used cannot be based on the use of samples or products provided through manufacturer patient assistance programs.</w:t>
      </w:r>
    </w:p>
    <w:p w14:paraId="01573DA5" w14:textId="77777777" w:rsidR="006B4DEF" w:rsidRDefault="006B4DEF" w:rsidP="00554794">
      <w:pPr>
        <w:spacing w:after="0" w:line="240" w:lineRule="auto"/>
        <w:jc w:val="both"/>
        <w:rPr>
          <w:rFonts w:ascii="Futura" w:eastAsia="Calibri" w:hAnsi="Futura" w:cs="Calibri"/>
          <w:color w:val="000000"/>
          <w:sz w:val="20"/>
          <w:szCs w:val="20"/>
          <w:lang w:bidi="en-US"/>
        </w:rPr>
      </w:pPr>
    </w:p>
    <w:p w14:paraId="4D085817" w14:textId="2D9A8FD3" w:rsidR="00E42974" w:rsidRPr="0018204C" w:rsidRDefault="00E42974" w:rsidP="00554794">
      <w:pPr>
        <w:spacing w:after="0" w:line="240" w:lineRule="auto"/>
        <w:jc w:val="both"/>
        <w:rPr>
          <w:rFonts w:ascii="Futura" w:hAnsi="Futura"/>
          <w:b/>
          <w:bCs/>
          <w:color w:val="00AEDB"/>
          <w:sz w:val="24"/>
          <w:szCs w:val="24"/>
        </w:rPr>
      </w:pPr>
      <w:r w:rsidRPr="0018204C">
        <w:rPr>
          <w:rFonts w:ascii="Futura" w:hAnsi="Futura"/>
          <w:b/>
          <w:bCs/>
          <w:color w:val="00AEDB"/>
          <w:sz w:val="24"/>
          <w:szCs w:val="24"/>
        </w:rPr>
        <w:t>Exclusions:</w:t>
      </w:r>
    </w:p>
    <w:p w14:paraId="121B4A0C" w14:textId="30BA3CFC" w:rsidR="0018204C" w:rsidRDefault="004B7D0A" w:rsidP="006A4B3F">
      <w:pPr>
        <w:numPr>
          <w:ilvl w:val="0"/>
          <w:numId w:val="2"/>
        </w:num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Requests for indications not FDA approved or supported by documentation of compendial acceptance provided by the requesting provider</w:t>
      </w:r>
    </w:p>
    <w:p w14:paraId="42E5438B" w14:textId="77777777" w:rsidR="003E698F" w:rsidRDefault="003E698F" w:rsidP="00320403">
      <w:pPr>
        <w:spacing w:after="0" w:line="240" w:lineRule="auto"/>
        <w:rPr>
          <w:rFonts w:ascii="Futura" w:hAnsi="Futura"/>
          <w:b/>
          <w:bCs/>
          <w:color w:val="00AEDB"/>
          <w:sz w:val="24"/>
          <w:szCs w:val="24"/>
        </w:rPr>
      </w:pPr>
    </w:p>
    <w:p w14:paraId="15BDFBEC" w14:textId="340BC730" w:rsidR="00255C58" w:rsidRDefault="00255C58" w:rsidP="00320403">
      <w:pPr>
        <w:spacing w:after="0" w:line="240" w:lineRule="auto"/>
        <w:rPr>
          <w:rFonts w:ascii="Futura" w:hAnsi="Futura"/>
          <w:b/>
          <w:bCs/>
          <w:color w:val="00AEDB"/>
          <w:sz w:val="24"/>
          <w:szCs w:val="24"/>
        </w:rPr>
      </w:pPr>
      <w:r>
        <w:rPr>
          <w:rFonts w:ascii="Futura" w:hAnsi="Futura"/>
          <w:b/>
          <w:bCs/>
          <w:color w:val="00AEDB"/>
          <w:sz w:val="24"/>
          <w:szCs w:val="24"/>
        </w:rPr>
        <w:t>Preferencing:</w:t>
      </w:r>
    </w:p>
    <w:p w14:paraId="366D9618" w14:textId="6FE1F21A" w:rsidR="00255C58" w:rsidRPr="00CD2097" w:rsidRDefault="00255C58" w:rsidP="00320403">
      <w:pPr>
        <w:spacing w:after="0" w:line="240" w:lineRule="auto"/>
        <w:rPr>
          <w:rFonts w:ascii="Futura" w:hAnsi="Futura"/>
          <w:sz w:val="24"/>
          <w:szCs w:val="24"/>
        </w:rPr>
      </w:pPr>
      <w:r w:rsidRPr="00CD2097">
        <w:rPr>
          <w:rFonts w:ascii="Futura" w:hAnsi="Futura"/>
          <w:b/>
          <w:bCs/>
          <w:sz w:val="24"/>
          <w:szCs w:val="24"/>
        </w:rPr>
        <w:t>Preferred Agents:</w:t>
      </w:r>
      <w:r w:rsidR="00CD2097">
        <w:rPr>
          <w:rFonts w:ascii="Futura" w:hAnsi="Futura"/>
          <w:b/>
          <w:bCs/>
          <w:sz w:val="24"/>
          <w:szCs w:val="24"/>
        </w:rPr>
        <w:t xml:space="preserve"> </w:t>
      </w:r>
      <w:r w:rsidR="00836EAE">
        <w:rPr>
          <w:rFonts w:ascii="Futura" w:hAnsi="Futura"/>
          <w:b/>
          <w:bCs/>
          <w:sz w:val="24"/>
          <w:szCs w:val="24"/>
        </w:rPr>
        <w:t>Ruxience, Truxima</w:t>
      </w:r>
    </w:p>
    <w:p w14:paraId="6E9CE643" w14:textId="3494B792" w:rsidR="0090595D" w:rsidRDefault="0090595D" w:rsidP="00320403">
      <w:pPr>
        <w:spacing w:after="0" w:line="240" w:lineRule="auto"/>
        <w:rPr>
          <w:rFonts w:ascii="Futura" w:hAnsi="Futura"/>
          <w:b/>
          <w:bCs/>
          <w:sz w:val="24"/>
          <w:szCs w:val="24"/>
        </w:rPr>
      </w:pPr>
      <w:r w:rsidRPr="00CD2097">
        <w:rPr>
          <w:rFonts w:ascii="Futura" w:hAnsi="Futura"/>
          <w:b/>
          <w:bCs/>
          <w:sz w:val="24"/>
          <w:szCs w:val="24"/>
        </w:rPr>
        <w:t>Secondary Agents:</w:t>
      </w:r>
      <w:r w:rsidR="00CD2097">
        <w:rPr>
          <w:rFonts w:ascii="Futura" w:hAnsi="Futura"/>
          <w:b/>
          <w:bCs/>
          <w:sz w:val="24"/>
          <w:szCs w:val="24"/>
        </w:rPr>
        <w:t xml:space="preserve"> </w:t>
      </w:r>
      <w:r w:rsidR="00836EAE">
        <w:rPr>
          <w:rFonts w:ascii="Futura" w:hAnsi="Futura"/>
          <w:b/>
          <w:bCs/>
          <w:sz w:val="24"/>
          <w:szCs w:val="24"/>
        </w:rPr>
        <w:t>Riabni, Rituxan, Rituxan Hycela</w:t>
      </w:r>
    </w:p>
    <w:p w14:paraId="6CA5A894" w14:textId="77777777" w:rsidR="00255C58" w:rsidRDefault="00255C58" w:rsidP="00320403">
      <w:pPr>
        <w:spacing w:after="0" w:line="240" w:lineRule="auto"/>
        <w:rPr>
          <w:rFonts w:ascii="Futura" w:hAnsi="Futura"/>
          <w:b/>
          <w:bCs/>
          <w:color w:val="00AEDB"/>
          <w:sz w:val="24"/>
          <w:szCs w:val="24"/>
        </w:rPr>
      </w:pPr>
    </w:p>
    <w:p w14:paraId="25E29391" w14:textId="2523E219" w:rsidR="00320403" w:rsidRDefault="00B15619" w:rsidP="00320403">
      <w:pPr>
        <w:spacing w:after="0" w:line="240" w:lineRule="auto"/>
        <w:rPr>
          <w:rFonts w:ascii="Futura" w:hAnsi="Futura"/>
          <w:b/>
          <w:bCs/>
          <w:color w:val="00AEDB"/>
          <w:sz w:val="24"/>
          <w:szCs w:val="24"/>
        </w:rPr>
      </w:pPr>
      <w:r>
        <w:rPr>
          <w:rFonts w:ascii="Futura" w:hAnsi="Futura"/>
          <w:b/>
          <w:bCs/>
          <w:color w:val="00AEDB"/>
          <w:sz w:val="24"/>
          <w:szCs w:val="24"/>
        </w:rPr>
        <w:t>Agents</w:t>
      </w:r>
      <w:r w:rsidR="00320403">
        <w:rPr>
          <w:rFonts w:ascii="Futura" w:hAnsi="Futura"/>
          <w:b/>
          <w:bCs/>
          <w:color w:val="00AEDB"/>
          <w:sz w:val="24"/>
          <w:szCs w:val="24"/>
        </w:rPr>
        <w:t>:</w:t>
      </w:r>
    </w:p>
    <w:p w14:paraId="1171CEDC" w14:textId="77777777" w:rsidR="005027EC" w:rsidRPr="00B317BA" w:rsidRDefault="005027EC" w:rsidP="003E1B92">
      <w:pPr>
        <w:spacing w:after="0" w:line="240" w:lineRule="auto"/>
        <w:jc w:val="both"/>
        <w:rPr>
          <w:rFonts w:ascii="Futura" w:eastAsia="Calibri" w:hAnsi="Futura" w:cs="Calibri"/>
          <w:b/>
          <w:bCs/>
          <w:color w:val="000000"/>
          <w:sz w:val="20"/>
          <w:szCs w:val="20"/>
          <w:highlight w:val="yellow"/>
          <w:lang w:bidi="en-US"/>
        </w:rPr>
      </w:pPr>
    </w:p>
    <w:p w14:paraId="65EE4548" w14:textId="6DDE41F8" w:rsidR="003E1B92" w:rsidRDefault="003E1B92" w:rsidP="00360FBC">
      <w:pPr>
        <w:jc w:val="both"/>
        <w:rPr>
          <w:rFonts w:ascii="Aptos Narrow" w:eastAsia="Times New Roman" w:hAnsi="Aptos Narrow" w:cs="Times New Roman"/>
          <w:color w:val="000000"/>
          <w:kern w:val="0"/>
          <w14:ligatures w14:val="none"/>
        </w:rPr>
      </w:pPr>
      <w:r w:rsidRPr="00467FD5">
        <w:rPr>
          <w:rFonts w:ascii="Futura" w:eastAsia="Calibri" w:hAnsi="Futura" w:cs="Calibri"/>
          <w:b/>
          <w:bCs/>
          <w:color w:val="000000"/>
          <w:sz w:val="20"/>
          <w:szCs w:val="20"/>
          <w:lang w:bidi="en-US"/>
        </w:rPr>
        <w:t xml:space="preserve">HCPCS: </w:t>
      </w:r>
      <w:r w:rsidR="00C8645E" w:rsidRPr="00C8645E">
        <w:rPr>
          <w:rFonts w:ascii="Aptos Narrow" w:eastAsia="Times New Roman" w:hAnsi="Aptos Narrow" w:cs="Times New Roman"/>
          <w:color w:val="000000"/>
          <w:kern w:val="0"/>
          <w14:ligatures w14:val="none"/>
        </w:rPr>
        <w:t>Q5119, Q5115, Q5123, J9312, J9311</w:t>
      </w:r>
    </w:p>
    <w:p w14:paraId="4AD1A527" w14:textId="0661523C" w:rsidR="00A042A8" w:rsidRPr="00A042A8" w:rsidRDefault="00A042A8" w:rsidP="00360FBC">
      <w:pPr>
        <w:jc w:val="both"/>
        <w:rPr>
          <w:rFonts w:ascii="Futura" w:eastAsia="Calibri" w:hAnsi="Futura" w:cs="Calibri"/>
          <w:color w:val="000000"/>
          <w:sz w:val="20"/>
          <w:szCs w:val="20"/>
          <w:lang w:bidi="en-US"/>
        </w:rPr>
      </w:pPr>
      <w:r w:rsidRPr="00A042A8">
        <w:rPr>
          <w:rFonts w:ascii="Futura" w:eastAsia="Calibri" w:hAnsi="Futura" w:cs="Calibri"/>
          <w:color w:val="000000"/>
          <w:sz w:val="20"/>
          <w:szCs w:val="20"/>
          <w:lang w:bidi="en-US"/>
        </w:rPr>
        <w:t>Rituximab is a recombinant monoclonal antibody that results in cell death of B-lymphocytes by targeting the CD20 protein expressed on the lymphocyte surface.</w:t>
      </w:r>
      <w:bookmarkStart w:id="0" w:name="cl_c_2"/>
      <w:bookmarkEnd w:id="0"/>
      <w:r w:rsidR="00935508" w:rsidRPr="00A042A8">
        <w:rPr>
          <w:rFonts w:ascii="Futura" w:eastAsia="Calibri" w:hAnsi="Futura" w:cs="Calibri"/>
          <w:color w:val="000000"/>
          <w:sz w:val="20"/>
          <w:szCs w:val="20"/>
          <w:lang w:bidi="en-US"/>
        </w:rPr>
        <w:t xml:space="preserve"> </w:t>
      </w:r>
      <w:r w:rsidRPr="00A042A8">
        <w:rPr>
          <w:rFonts w:ascii="Futura" w:eastAsia="Calibri" w:hAnsi="Futura" w:cs="Calibri"/>
          <w:color w:val="000000"/>
          <w:sz w:val="20"/>
          <w:szCs w:val="20"/>
          <w:lang w:bidi="en-US"/>
        </w:rPr>
        <w:t>Potential adverse events that may occur secondary to treatment with rituximab include JC virus infection resulting in progressive multifocal leukoencephalopathy, hepatitis B virus reactivation, infusion reaction, tumor lysis syndrome (in patients with non-Hodgkin lymphoma), and severe mucocutaneous reaction.</w:t>
      </w:r>
      <w:bookmarkStart w:id="1" w:name="cl_c_3"/>
      <w:bookmarkEnd w:id="1"/>
    </w:p>
    <w:p w14:paraId="76CFC940" w14:textId="3F515920" w:rsidR="00AF6352" w:rsidRPr="00AF6352" w:rsidRDefault="00AF6352" w:rsidP="00AF6352">
      <w:p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Rituximab may be indicated when </w:t>
      </w:r>
      <w:r w:rsidR="0083268A"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 are present</w:t>
      </w:r>
      <w:bookmarkStart w:id="2" w:name="cl_c_1"/>
      <w:bookmarkEnd w:id="2"/>
      <w:r w:rsidRPr="00AF6352">
        <w:rPr>
          <w:rFonts w:ascii="Futura" w:eastAsia="Calibri" w:hAnsi="Futura" w:cs="Calibri"/>
          <w:color w:val="000000"/>
          <w:sz w:val="20"/>
          <w:szCs w:val="20"/>
          <w:lang w:bidi="en-US"/>
        </w:rPr>
        <w:t>:</w:t>
      </w:r>
    </w:p>
    <w:p w14:paraId="1C688E85" w14:textId="77777777" w:rsidR="00AF6352" w:rsidRPr="00AF6352" w:rsidRDefault="00AF6352" w:rsidP="00AF6352">
      <w:pPr>
        <w:numPr>
          <w:ilvl w:val="0"/>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Clinical diagnosis of 1 or more of the following:</w:t>
      </w:r>
    </w:p>
    <w:p w14:paraId="723037F0" w14:textId="257BB1B0"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Acute lymphoblastic leukemia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r w:rsidRPr="00AF6352">
        <w:rPr>
          <w:rFonts w:ascii="Futura" w:eastAsia="Calibri" w:hAnsi="Futura" w:cs="Calibri"/>
          <w:noProof/>
          <w:color w:val="000000"/>
          <w:sz w:val="20"/>
          <w:szCs w:val="20"/>
          <w:lang w:bidi="en-US"/>
        </w:rPr>
        <mc:AlternateContent>
          <mc:Choice Requires="wps">
            <w:drawing>
              <wp:inline distT="0" distB="0" distL="0" distR="0" wp14:anchorId="2E3D5EE4" wp14:editId="21AF4C2F">
                <wp:extent cx="304800" cy="304800"/>
                <wp:effectExtent l="0" t="0" r="0" b="0"/>
                <wp:docPr id="24650952" name="Rectangle 24" descr="Supporting evidence, suggestions, and alternatives">
                  <a:hlinkClick xmlns:a="http://schemas.openxmlformats.org/drawingml/2006/main" r:id="rId9" tooltip="&quot;Supporting evidence, suggestions, and alternativ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19E8C" id="Rectangle 24" o:spid="_x0000_s1026" alt="Supporting evidence, suggestions, and alternatives" href="https://rxadvance.carewebqi.com/GuidelineViewer.aspx/cver28.0/ac/ac04_069.htm?args=AQAAANCMnd8BFdERjHoAwE_Cl-sBAAAAtogmHFeQDkyCDKJTPYzHqAQAAAACAAAAAAAQZgAAAAEAACAAAADsMrP6dwCeEIGay0N2BlSlUlpb0qVMcdrnWEAQ4AkmOgAAAAAOgAAAAAIAACAAAAAyS32cHADCTk-7yDwGyKyRp-idY4K0KGS1BVwTziFP1xAAAAAj_6ofMo17n46SQKygZpWJQAAAAI1zHburO6uxo74HCUJ6av_0aDpjrlWR4eTQs6xbAq3zhFia-BqI1ByWtj5wAcC-knrFknJAxuc4JBrJs0ycNkY1" title="&quot;Supporting evidence, suggestions, and alternative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EDEF829" w14:textId="4ED98C0C" w:rsidR="00AF6352" w:rsidRPr="00AF6352" w:rsidRDefault="00AF6352" w:rsidP="00AF6352">
      <w:pPr>
        <w:numPr>
          <w:ilvl w:val="2"/>
          <w:numId w:val="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in combination with other agents (</w:t>
      </w:r>
      <w:r w:rsidR="009E3F5F" w:rsidRPr="00AF6352">
        <w:rPr>
          <w:rFonts w:ascii="Futura" w:eastAsia="Calibri" w:hAnsi="Futura" w:cs="Calibri"/>
          <w:color w:val="000000"/>
          <w:sz w:val="20"/>
          <w:szCs w:val="20"/>
          <w:lang w:bidi="en-US"/>
        </w:rPr>
        <w:t>e.g.</w:t>
      </w:r>
      <w:r w:rsidRPr="00AF6352">
        <w:rPr>
          <w:rFonts w:ascii="Futura" w:eastAsia="Calibri" w:hAnsi="Futura" w:cs="Calibri"/>
          <w:color w:val="000000"/>
          <w:sz w:val="20"/>
          <w:szCs w:val="20"/>
          <w:lang w:bidi="en-US"/>
        </w:rPr>
        <w:t>, cyclophosphamide, vincristine, doxorubicin, dexamethasone, methotrexate, cytarabine)</w:t>
      </w:r>
    </w:p>
    <w:p w14:paraId="0AE30E0C" w14:textId="77777777" w:rsidR="00AF6352" w:rsidRPr="00AF6352" w:rsidRDefault="00AF6352" w:rsidP="00AF6352">
      <w:pPr>
        <w:numPr>
          <w:ilvl w:val="2"/>
          <w:numId w:val="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B-cell precursor disease</w:t>
      </w:r>
    </w:p>
    <w:p w14:paraId="439E8AF8" w14:textId="77777777" w:rsidR="00AF6352" w:rsidRPr="00AF6352" w:rsidRDefault="00AF6352" w:rsidP="00AF6352">
      <w:pPr>
        <w:numPr>
          <w:ilvl w:val="2"/>
          <w:numId w:val="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CD20-positive and Philadelphia chromosome-negative disease</w:t>
      </w:r>
    </w:p>
    <w:p w14:paraId="3446372B" w14:textId="77777777" w:rsidR="00AF6352" w:rsidRPr="00AF6352" w:rsidRDefault="00AF6352" w:rsidP="00AF6352">
      <w:pPr>
        <w:numPr>
          <w:ilvl w:val="2"/>
          <w:numId w:val="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Previously untreated disease</w:t>
      </w:r>
    </w:p>
    <w:p w14:paraId="04BF35C1" w14:textId="1607FBDF"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lastRenderedPageBreak/>
        <w:t> ANCA-associated vasculitis (</w:t>
      </w:r>
      <w:r w:rsidR="009E3F5F" w:rsidRPr="00AF6352">
        <w:rPr>
          <w:rFonts w:ascii="Futura" w:eastAsia="Calibri" w:hAnsi="Futura" w:cs="Calibri"/>
          <w:color w:val="000000"/>
          <w:sz w:val="20"/>
          <w:szCs w:val="20"/>
          <w:lang w:bidi="en-US"/>
        </w:rPr>
        <w:t>i.e.</w:t>
      </w:r>
      <w:r w:rsidRPr="00AF6352">
        <w:rPr>
          <w:rFonts w:ascii="Futura" w:eastAsia="Calibri" w:hAnsi="Futura" w:cs="Calibri"/>
          <w:color w:val="000000"/>
          <w:sz w:val="20"/>
          <w:szCs w:val="20"/>
          <w:lang w:bidi="en-US"/>
        </w:rPr>
        <w:t>, granulomatosis with polyangiitis or microscopic polyangiitis)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367DEB61" w14:textId="77777777" w:rsidR="00AF6352" w:rsidRPr="00AF6352" w:rsidRDefault="00AF6352" w:rsidP="00AF6352">
      <w:pPr>
        <w:numPr>
          <w:ilvl w:val="2"/>
          <w:numId w:val="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2 years or older</w:t>
      </w:r>
    </w:p>
    <w:p w14:paraId="17BBBFE8" w14:textId="77777777" w:rsidR="00AF6352" w:rsidRPr="00AF6352" w:rsidRDefault="00AF6352" w:rsidP="00AF6352">
      <w:pPr>
        <w:numPr>
          <w:ilvl w:val="2"/>
          <w:numId w:val="1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Treatment scenario, as indicated by 1 or more of the following:</w:t>
      </w:r>
    </w:p>
    <w:p w14:paraId="18BDEEB1" w14:textId="69B2C304" w:rsidR="00AF6352" w:rsidRPr="00AF6352" w:rsidRDefault="00AF6352" w:rsidP="00AF6352">
      <w:pPr>
        <w:numPr>
          <w:ilvl w:val="3"/>
          <w:numId w:val="1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Active severe, relapsed, or refractory disease present (</w:t>
      </w:r>
      <w:r w:rsidR="009E3F5F" w:rsidRPr="00AF6352">
        <w:rPr>
          <w:rFonts w:ascii="Futura" w:eastAsia="Calibri" w:hAnsi="Futura" w:cs="Calibri"/>
          <w:color w:val="000000"/>
          <w:sz w:val="20"/>
          <w:szCs w:val="20"/>
          <w:lang w:bidi="en-US"/>
        </w:rPr>
        <w:t>e.g.</w:t>
      </w:r>
      <w:r w:rsidRPr="00AF6352">
        <w:rPr>
          <w:rFonts w:ascii="Futura" w:eastAsia="Calibri" w:hAnsi="Futura" w:cs="Calibri"/>
          <w:color w:val="000000"/>
          <w:sz w:val="20"/>
          <w:szCs w:val="20"/>
          <w:lang w:bidi="en-US"/>
        </w:rPr>
        <w:t>, progressive glomerulonephritis, alveolar hemorrhage, vasculitic neuropathy), and administered in combination with glucocorticoids, with or without avacopan</w:t>
      </w:r>
      <w:bookmarkStart w:id="3" w:name="cl_c_100"/>
      <w:bookmarkStart w:id="4" w:name="cl_c_101"/>
      <w:bookmarkStart w:id="5" w:name="cl_c_102"/>
      <w:bookmarkEnd w:id="3"/>
      <w:bookmarkEnd w:id="4"/>
      <w:bookmarkEnd w:id="5"/>
      <w:r w:rsidR="00CA62E6" w:rsidRPr="00AF6352">
        <w:rPr>
          <w:rFonts w:ascii="Futura" w:eastAsia="Calibri" w:hAnsi="Futura" w:cs="Calibri"/>
          <w:color w:val="000000"/>
          <w:sz w:val="20"/>
          <w:szCs w:val="20"/>
          <w:lang w:bidi="en-US"/>
        </w:rPr>
        <w:t xml:space="preserve"> </w:t>
      </w:r>
    </w:p>
    <w:p w14:paraId="497AB3BF" w14:textId="77777777" w:rsidR="00AF6352" w:rsidRPr="00AF6352" w:rsidRDefault="00AF6352" w:rsidP="00AF6352">
      <w:pPr>
        <w:numPr>
          <w:ilvl w:val="3"/>
          <w:numId w:val="1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Maintenance therapy, and administered as monotherapy</w:t>
      </w:r>
    </w:p>
    <w:p w14:paraId="034E901D" w14:textId="3CEDA320" w:rsidR="00AF6352" w:rsidRPr="00AF6352" w:rsidRDefault="00AF6352" w:rsidP="00AF6352">
      <w:pPr>
        <w:numPr>
          <w:ilvl w:val="1"/>
          <w:numId w:val="1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Autoimmune hemolytic anemia refractory to corticosteroids</w:t>
      </w:r>
      <w:bookmarkStart w:id="6" w:name="cl_c_105"/>
      <w:bookmarkStart w:id="7" w:name="cl_c_106"/>
      <w:bookmarkStart w:id="8" w:name="cl_c_107"/>
      <w:bookmarkEnd w:id="6"/>
      <w:bookmarkEnd w:id="7"/>
      <w:bookmarkEnd w:id="8"/>
      <w:r w:rsidR="009E3F5F" w:rsidRPr="00AF6352">
        <w:rPr>
          <w:rFonts w:ascii="Futura" w:eastAsia="Calibri" w:hAnsi="Futura" w:cs="Calibri"/>
          <w:color w:val="000000"/>
          <w:sz w:val="20"/>
          <w:szCs w:val="20"/>
          <w:lang w:bidi="en-US"/>
        </w:rPr>
        <w:t xml:space="preserve"> </w:t>
      </w:r>
    </w:p>
    <w:p w14:paraId="77FB6752" w14:textId="72A52D4B"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Chronic lymphocytic leukemia, CD20-positive, and </w:t>
      </w:r>
      <w:r w:rsidR="006B4DEF"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02B7BD3D" w14:textId="77777777" w:rsidR="00AF6352" w:rsidRPr="00AF6352" w:rsidRDefault="00AF6352" w:rsidP="00AF6352">
      <w:pPr>
        <w:numPr>
          <w:ilvl w:val="2"/>
          <w:numId w:val="1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5DE38EB9" w14:textId="75C9B4E6" w:rsidR="00AF6352" w:rsidRPr="00AF6352" w:rsidRDefault="00AF6352" w:rsidP="00AF6352">
      <w:pPr>
        <w:numPr>
          <w:ilvl w:val="2"/>
          <w:numId w:val="1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in combination with other agents (</w:t>
      </w:r>
      <w:r w:rsidR="009E3F5F" w:rsidRPr="00AF6352">
        <w:rPr>
          <w:rFonts w:ascii="Futura" w:eastAsia="Calibri" w:hAnsi="Futura" w:cs="Calibri"/>
          <w:color w:val="000000"/>
          <w:sz w:val="20"/>
          <w:szCs w:val="20"/>
          <w:lang w:bidi="en-US"/>
        </w:rPr>
        <w:t>e.g.</w:t>
      </w:r>
      <w:r w:rsidRPr="00AF6352">
        <w:rPr>
          <w:rFonts w:ascii="Futura" w:eastAsia="Calibri" w:hAnsi="Futura" w:cs="Calibri"/>
          <w:color w:val="000000"/>
          <w:sz w:val="20"/>
          <w:szCs w:val="20"/>
          <w:lang w:bidi="en-US"/>
        </w:rPr>
        <w:t>, fludarabine, cyclophosphamide, chlorambucil, bendamustine, idelalisib, venetoclax, ibrutinib)</w:t>
      </w:r>
      <w:bookmarkStart w:id="9" w:name="cl_c_131"/>
      <w:bookmarkStart w:id="10" w:name="cl_c_132"/>
      <w:bookmarkEnd w:id="9"/>
      <w:bookmarkEnd w:id="10"/>
      <w:r w:rsidR="009E3F5F" w:rsidRPr="00AF6352">
        <w:rPr>
          <w:rFonts w:ascii="Futura" w:eastAsia="Calibri" w:hAnsi="Futura" w:cs="Calibri"/>
          <w:color w:val="000000"/>
          <w:sz w:val="20"/>
          <w:szCs w:val="20"/>
          <w:lang w:bidi="en-US"/>
        </w:rPr>
        <w:t xml:space="preserve"> </w:t>
      </w:r>
    </w:p>
    <w:p w14:paraId="7DE72693" w14:textId="77777777" w:rsidR="00AF6352" w:rsidRPr="00AF6352" w:rsidRDefault="00AF6352" w:rsidP="00AF6352">
      <w:pPr>
        <w:numPr>
          <w:ilvl w:val="2"/>
          <w:numId w:val="1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Administration needed for 1 or more of the following:</w:t>
      </w:r>
    </w:p>
    <w:p w14:paraId="27BFBE4E" w14:textId="77777777" w:rsidR="00AF6352" w:rsidRPr="00AF6352" w:rsidRDefault="00AF6352" w:rsidP="00AF6352">
      <w:pPr>
        <w:numPr>
          <w:ilvl w:val="3"/>
          <w:numId w:val="1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Previously untreated symptomatic disease</w:t>
      </w:r>
    </w:p>
    <w:p w14:paraId="01F47534" w14:textId="77777777" w:rsidR="00AF6352" w:rsidRPr="00AF6352" w:rsidRDefault="00AF6352" w:rsidP="00AF6352">
      <w:pPr>
        <w:numPr>
          <w:ilvl w:val="3"/>
          <w:numId w:val="1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Relapsed or refractory disease</w:t>
      </w:r>
    </w:p>
    <w:p w14:paraId="1A410E94" w14:textId="362C8C0E"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Hodgkin lymphoma (nodular lymphocyte-predominant), as indicated by 1 or more of the following:</w:t>
      </w:r>
    </w:p>
    <w:p w14:paraId="4CD91092" w14:textId="77777777" w:rsidR="00AF6352" w:rsidRPr="00AF6352" w:rsidRDefault="00AF6352" w:rsidP="00AF6352">
      <w:pPr>
        <w:numPr>
          <w:ilvl w:val="2"/>
          <w:numId w:val="1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Maintenance therapy when administered as single agent (for 2 years)</w:t>
      </w:r>
    </w:p>
    <w:p w14:paraId="3E5D827D" w14:textId="77777777" w:rsidR="00AF6352" w:rsidRPr="00AF6352" w:rsidRDefault="00AF6352" w:rsidP="00AF6352">
      <w:pPr>
        <w:numPr>
          <w:ilvl w:val="2"/>
          <w:numId w:val="2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Previously untreated disease</w:t>
      </w:r>
    </w:p>
    <w:p w14:paraId="2463B9E6" w14:textId="77777777" w:rsidR="00AF6352" w:rsidRPr="00AF6352" w:rsidRDefault="00AF6352" w:rsidP="00AF6352">
      <w:pPr>
        <w:numPr>
          <w:ilvl w:val="2"/>
          <w:numId w:val="2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Refractory disease or suspected relapse</w:t>
      </w:r>
    </w:p>
    <w:p w14:paraId="20DF60C8" w14:textId="141774A2"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Immune thrombocytopenia, as indicated by </w:t>
      </w:r>
      <w:r w:rsidR="006B4DEF"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3490A349" w14:textId="77777777" w:rsidR="00AF6352" w:rsidRPr="00AF6352" w:rsidRDefault="00AF6352" w:rsidP="00AF6352">
      <w:pPr>
        <w:numPr>
          <w:ilvl w:val="2"/>
          <w:numId w:val="2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Disease activity and treatment scenario includes 1 or more of the following:</w:t>
      </w:r>
    </w:p>
    <w:p w14:paraId="2BD4FE10" w14:textId="14C1A33D" w:rsidR="00AF6352" w:rsidRPr="00AF6352" w:rsidRDefault="00AF6352" w:rsidP="00AF6352">
      <w:pPr>
        <w:numPr>
          <w:ilvl w:val="3"/>
          <w:numId w:val="2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For adults: platelet count less than 30,000/mm3 (30 x109/L</w:t>
      </w:r>
      <w:bookmarkStart w:id="11" w:name="cl_c_147"/>
      <w:bookmarkStart w:id="12" w:name="cl_c_148"/>
      <w:bookmarkEnd w:id="11"/>
      <w:bookmarkEnd w:id="12"/>
      <w:r w:rsidRPr="00AF6352">
        <w:rPr>
          <w:rFonts w:ascii="Futura" w:eastAsia="Calibri" w:hAnsi="Futura" w:cs="Calibri"/>
          <w:color w:val="000000"/>
          <w:sz w:val="20"/>
          <w:szCs w:val="20"/>
          <w:lang w:bidi="en-US"/>
        </w:rPr>
        <w:t>)</w:t>
      </w:r>
      <w:r w:rsidR="009E3F5F" w:rsidRPr="00AF6352">
        <w:rPr>
          <w:rFonts w:ascii="Futura" w:eastAsia="Calibri" w:hAnsi="Futura" w:cs="Calibri"/>
          <w:color w:val="000000"/>
          <w:sz w:val="20"/>
          <w:szCs w:val="20"/>
          <w:lang w:bidi="en-US"/>
        </w:rPr>
        <w:t xml:space="preserve"> </w:t>
      </w:r>
    </w:p>
    <w:p w14:paraId="25237DC9" w14:textId="6F5A56C8" w:rsidR="00AF6352" w:rsidRPr="00AF6352" w:rsidRDefault="00AF6352" w:rsidP="00AF6352">
      <w:pPr>
        <w:numPr>
          <w:ilvl w:val="3"/>
          <w:numId w:val="2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For children or adults: significant or persistent bleeding associated with low platelet count (</w:t>
      </w:r>
      <w:r w:rsidR="009E3F5F" w:rsidRPr="00AF6352">
        <w:rPr>
          <w:rFonts w:ascii="Futura" w:eastAsia="Calibri" w:hAnsi="Futura" w:cs="Calibri"/>
          <w:color w:val="000000"/>
          <w:sz w:val="20"/>
          <w:szCs w:val="20"/>
          <w:lang w:bidi="en-US"/>
        </w:rPr>
        <w:t>e.g.</w:t>
      </w:r>
      <w:r w:rsidRPr="00AF6352">
        <w:rPr>
          <w:rFonts w:ascii="Futura" w:eastAsia="Calibri" w:hAnsi="Futura" w:cs="Calibri"/>
          <w:color w:val="000000"/>
          <w:sz w:val="20"/>
          <w:szCs w:val="20"/>
          <w:lang w:bidi="en-US"/>
        </w:rPr>
        <w:t>, less than 50,000/mm3 (50 x109/L))</w:t>
      </w:r>
    </w:p>
    <w:p w14:paraId="5D9D56EB" w14:textId="226BABEC" w:rsidR="00AF6352" w:rsidRPr="00AF6352" w:rsidRDefault="00AF6352" w:rsidP="00AF6352">
      <w:pPr>
        <w:numPr>
          <w:ilvl w:val="2"/>
          <w:numId w:val="2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Failure of or contraindication to therapy with 1 or more of the following</w:t>
      </w:r>
      <w:bookmarkStart w:id="13" w:name="cl_c_149"/>
      <w:bookmarkEnd w:id="13"/>
      <w:r w:rsidRPr="00AF6352">
        <w:rPr>
          <w:rFonts w:ascii="Futura" w:eastAsia="Calibri" w:hAnsi="Futura" w:cs="Calibri"/>
          <w:color w:val="000000"/>
          <w:sz w:val="20"/>
          <w:szCs w:val="20"/>
          <w:lang w:bidi="en-US"/>
        </w:rPr>
        <w:t>:</w:t>
      </w:r>
    </w:p>
    <w:p w14:paraId="781C5979" w14:textId="77777777" w:rsidR="00AF6352" w:rsidRPr="00AF6352" w:rsidRDefault="00AF6352" w:rsidP="00AF6352">
      <w:pPr>
        <w:numPr>
          <w:ilvl w:val="3"/>
          <w:numId w:val="2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Anti-D immunoglobulin</w:t>
      </w:r>
    </w:p>
    <w:p w14:paraId="72A16A92" w14:textId="77777777" w:rsidR="00AF6352" w:rsidRPr="00AF6352" w:rsidRDefault="00AF6352" w:rsidP="00AF6352">
      <w:pPr>
        <w:numPr>
          <w:ilvl w:val="3"/>
          <w:numId w:val="2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Corticosteroids</w:t>
      </w:r>
    </w:p>
    <w:p w14:paraId="3582475E" w14:textId="77777777" w:rsidR="00AF6352" w:rsidRPr="00AF6352" w:rsidRDefault="00AF6352" w:rsidP="00AF6352">
      <w:pPr>
        <w:numPr>
          <w:ilvl w:val="3"/>
          <w:numId w:val="2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IVIG</w:t>
      </w:r>
    </w:p>
    <w:p w14:paraId="61F8C361" w14:textId="77777777" w:rsidR="00AF6352" w:rsidRPr="00AF6352" w:rsidRDefault="00AF6352" w:rsidP="00AF6352">
      <w:pPr>
        <w:numPr>
          <w:ilvl w:val="3"/>
          <w:numId w:val="2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Splenectomy</w:t>
      </w:r>
    </w:p>
    <w:p w14:paraId="1F6C3F1A" w14:textId="17AF4651"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Non-Hodgkin lymphoma, as indicated by 1 or more of the following</w:t>
      </w:r>
      <w:bookmarkStart w:id="14" w:name="cl_c_151"/>
      <w:bookmarkEnd w:id="14"/>
      <w:r w:rsidRPr="00AF6352">
        <w:rPr>
          <w:rFonts w:ascii="Futura" w:eastAsia="Calibri" w:hAnsi="Futura" w:cs="Calibri"/>
          <w:color w:val="000000"/>
          <w:sz w:val="20"/>
          <w:szCs w:val="20"/>
          <w:lang w:bidi="en-US"/>
        </w:rPr>
        <w:t>:</w:t>
      </w:r>
    </w:p>
    <w:p w14:paraId="16BD7A47" w14:textId="47B6D3CA" w:rsidR="00AF6352" w:rsidRPr="00AF6352" w:rsidRDefault="00AF6352" w:rsidP="00AF6352">
      <w:pPr>
        <w:numPr>
          <w:ilvl w:val="2"/>
          <w:numId w:val="3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Initial course of rituximab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7E08A13F" w14:textId="77777777" w:rsidR="00AF6352" w:rsidRPr="00AF6352" w:rsidRDefault="00AF6352" w:rsidP="00AF6352">
      <w:pPr>
        <w:numPr>
          <w:ilvl w:val="3"/>
          <w:numId w:val="3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CD20-positive B-cell non-Hodgkin lymphoma</w:t>
      </w:r>
    </w:p>
    <w:p w14:paraId="2C1EFB94" w14:textId="77777777" w:rsidR="00AF6352" w:rsidRPr="00AF6352" w:rsidRDefault="00AF6352" w:rsidP="00AF6352">
      <w:pPr>
        <w:numPr>
          <w:ilvl w:val="3"/>
          <w:numId w:val="3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Clinical scenario, as indicated by 1 or more of the following:</w:t>
      </w:r>
    </w:p>
    <w:p w14:paraId="3BA622D3" w14:textId="17D4318D" w:rsidR="00AF6352" w:rsidRPr="00AF6352" w:rsidRDefault="00AF6352" w:rsidP="00AF6352">
      <w:pPr>
        <w:numPr>
          <w:ilvl w:val="4"/>
          <w:numId w:val="3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Burkitt lymphoma, Burkitt-like lymphoma, or mature B-cell acute leukemia, as indicated by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6F92CC1F" w14:textId="77777777" w:rsidR="00AF6352" w:rsidRPr="00AF6352" w:rsidRDefault="00AF6352" w:rsidP="00AF6352">
      <w:pPr>
        <w:numPr>
          <w:ilvl w:val="5"/>
          <w:numId w:val="3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6 months or older</w:t>
      </w:r>
    </w:p>
    <w:p w14:paraId="6DADA86F" w14:textId="77777777" w:rsidR="00AF6352" w:rsidRPr="00AF6352" w:rsidRDefault="00AF6352" w:rsidP="00AF6352">
      <w:pPr>
        <w:numPr>
          <w:ilvl w:val="5"/>
          <w:numId w:val="3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Previously untreated disease and administered in combination with first-line chemotherapy</w:t>
      </w:r>
    </w:p>
    <w:p w14:paraId="3A23AF2C" w14:textId="6AC7C9A4" w:rsidR="00AF6352" w:rsidRPr="00AF6352" w:rsidRDefault="00AF6352" w:rsidP="00AF6352">
      <w:pPr>
        <w:numPr>
          <w:ilvl w:val="4"/>
          <w:numId w:val="3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Diffuse large B-cell lymphoma, as indicated by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060406C7" w14:textId="77777777" w:rsidR="00AF6352" w:rsidRPr="00AF6352" w:rsidRDefault="00AF6352" w:rsidP="00AF6352">
      <w:pPr>
        <w:numPr>
          <w:ilvl w:val="5"/>
          <w:numId w:val="3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6 months or older</w:t>
      </w:r>
    </w:p>
    <w:p w14:paraId="6384A0F6" w14:textId="77777777" w:rsidR="00AF6352" w:rsidRPr="00AF6352" w:rsidRDefault="00AF6352" w:rsidP="00AF6352">
      <w:pPr>
        <w:numPr>
          <w:ilvl w:val="5"/>
          <w:numId w:val="3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Previously untreated disease and administered in combination with first-line chemotherapy with 1 or more of the following:</w:t>
      </w:r>
    </w:p>
    <w:p w14:paraId="721FDEB2" w14:textId="77B9E587" w:rsidR="00AF6352" w:rsidRPr="00AF6352" w:rsidRDefault="00AF6352" w:rsidP="00AF6352">
      <w:pPr>
        <w:numPr>
          <w:ilvl w:val="6"/>
          <w:numId w:val="3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CHOP chemotherapy regimen (cyclophosphamide, doxorubicin, vincristine, and prednisone)</w:t>
      </w:r>
      <w:bookmarkStart w:id="15" w:name="cl_c_184"/>
      <w:bookmarkEnd w:id="15"/>
    </w:p>
    <w:p w14:paraId="4BAF50FE" w14:textId="77777777" w:rsidR="00AF6352" w:rsidRPr="00AF6352" w:rsidRDefault="00AF6352" w:rsidP="00AF6352">
      <w:pPr>
        <w:numPr>
          <w:ilvl w:val="6"/>
          <w:numId w:val="3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lastRenderedPageBreak/>
        <w:t>EPOCH chemotherapy regimen (etoposide, prednisone, vincristine, cyclophosphamide, and doxorubicin)</w:t>
      </w:r>
    </w:p>
    <w:p w14:paraId="1FC303B5" w14:textId="57F3CA5B" w:rsidR="00AF6352" w:rsidRPr="00AF6352" w:rsidRDefault="00AF6352" w:rsidP="00AF6352">
      <w:pPr>
        <w:numPr>
          <w:ilvl w:val="6"/>
          <w:numId w:val="3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Lymphome Malin B chemotherapy regimen</w:t>
      </w:r>
      <w:bookmarkStart w:id="16" w:name="cl_c_187"/>
      <w:bookmarkEnd w:id="16"/>
    </w:p>
    <w:p w14:paraId="1771EBA8" w14:textId="77777777" w:rsidR="00AF6352" w:rsidRPr="00AF6352" w:rsidRDefault="00AF6352" w:rsidP="00AF6352">
      <w:pPr>
        <w:numPr>
          <w:ilvl w:val="6"/>
          <w:numId w:val="4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Other chemotherapy regimen for patient with poor left ventricular function who cannot tolerate high-dose anthracycline-based therapy</w:t>
      </w:r>
    </w:p>
    <w:p w14:paraId="086A48A7" w14:textId="319C69C8" w:rsidR="00AF6352" w:rsidRPr="00AF6352" w:rsidRDefault="00AF6352" w:rsidP="00AF6352">
      <w:pPr>
        <w:numPr>
          <w:ilvl w:val="6"/>
          <w:numId w:val="4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Pola-R-CHP regimen (polatuzumab vedotin-piiq, cyclophosphamide, doxorubicin, prednisone)</w:t>
      </w:r>
      <w:bookmarkStart w:id="17" w:name="cl_c_188"/>
      <w:bookmarkEnd w:id="17"/>
      <w:r w:rsidR="00F51F71" w:rsidRPr="00AF6352">
        <w:rPr>
          <w:rFonts w:ascii="Futura" w:eastAsia="Calibri" w:hAnsi="Futura" w:cs="Calibri"/>
          <w:color w:val="000000"/>
          <w:sz w:val="20"/>
          <w:szCs w:val="20"/>
          <w:lang w:bidi="en-US"/>
        </w:rPr>
        <w:t xml:space="preserve"> </w:t>
      </w:r>
    </w:p>
    <w:p w14:paraId="7071E01E" w14:textId="58F081E2" w:rsidR="00AF6352" w:rsidRPr="00AF6352" w:rsidRDefault="00AF6352" w:rsidP="00AF6352">
      <w:pPr>
        <w:numPr>
          <w:ilvl w:val="4"/>
          <w:numId w:val="3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Follicular lymphoma, as indicated by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5BAFDA9B" w14:textId="77777777" w:rsidR="00AF6352" w:rsidRPr="00AF6352" w:rsidRDefault="00AF6352" w:rsidP="00AF6352">
      <w:pPr>
        <w:numPr>
          <w:ilvl w:val="5"/>
          <w:numId w:val="4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046241F5" w14:textId="77777777" w:rsidR="00AF6352" w:rsidRPr="00AF6352" w:rsidRDefault="00AF6352" w:rsidP="00AF6352">
      <w:pPr>
        <w:numPr>
          <w:ilvl w:val="5"/>
          <w:numId w:val="4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in combination with first-line chemotherapy</w:t>
      </w:r>
    </w:p>
    <w:p w14:paraId="4888F8B8" w14:textId="11A72236" w:rsidR="00AF6352" w:rsidRPr="00AF6352" w:rsidRDefault="00AF6352" w:rsidP="00AF6352">
      <w:pPr>
        <w:numPr>
          <w:ilvl w:val="4"/>
          <w:numId w:val="3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Mantle cell lymphoma, as indicated by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49BA84D5" w14:textId="1182B2F1" w:rsidR="00AF6352" w:rsidRPr="00AF6352" w:rsidRDefault="00AF6352" w:rsidP="00AF6352">
      <w:pPr>
        <w:numPr>
          <w:ilvl w:val="5"/>
          <w:numId w:val="4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xml:space="preserve">Adult patient </w:t>
      </w:r>
      <w:r w:rsidR="001374B2" w:rsidRPr="00AF6352">
        <w:rPr>
          <w:rFonts w:ascii="Futura" w:eastAsia="Calibri" w:hAnsi="Futura" w:cs="Calibri"/>
          <w:color w:val="000000"/>
          <w:sz w:val="20"/>
          <w:szCs w:val="20"/>
          <w:lang w:bidi="en-US"/>
        </w:rPr>
        <w:t>aged</w:t>
      </w:r>
      <w:r w:rsidRPr="00AF6352">
        <w:rPr>
          <w:rFonts w:ascii="Futura" w:eastAsia="Calibri" w:hAnsi="Futura" w:cs="Calibri"/>
          <w:color w:val="000000"/>
          <w:sz w:val="20"/>
          <w:szCs w:val="20"/>
          <w:lang w:bidi="en-US"/>
        </w:rPr>
        <w:t xml:space="preserve"> 65 years or younger</w:t>
      </w:r>
      <w:bookmarkStart w:id="18" w:name="cl_c_201"/>
      <w:bookmarkEnd w:id="18"/>
    </w:p>
    <w:p w14:paraId="1386BEFE" w14:textId="7A75A481" w:rsidR="00AF6352" w:rsidRPr="00AF6352" w:rsidRDefault="00AF6352" w:rsidP="00AF6352">
      <w:pPr>
        <w:numPr>
          <w:ilvl w:val="5"/>
          <w:numId w:val="4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Relapsed disease or refractory to at least one prior therapy</w:t>
      </w:r>
      <w:bookmarkStart w:id="19" w:name="cl_c_202"/>
      <w:bookmarkEnd w:id="19"/>
    </w:p>
    <w:p w14:paraId="3359C10F" w14:textId="27A92928" w:rsidR="00AF6352" w:rsidRPr="00AF6352" w:rsidRDefault="00AF6352" w:rsidP="00AF6352">
      <w:pPr>
        <w:numPr>
          <w:ilvl w:val="4"/>
          <w:numId w:val="3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Marginal zone lymphoma (gastric and nongastric mucosa-associated lymphoid tissue (MALT), nodal marginal zone lymphoma, splenic marginal zone lymphoma), as indicated by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15502B6D" w14:textId="77777777" w:rsidR="00AF6352" w:rsidRPr="00AF6352" w:rsidRDefault="00AF6352" w:rsidP="00AF6352">
      <w:pPr>
        <w:numPr>
          <w:ilvl w:val="5"/>
          <w:numId w:val="4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3F9EB94F" w14:textId="77777777" w:rsidR="00AF6352" w:rsidRPr="00AF6352" w:rsidRDefault="00AF6352" w:rsidP="00AF6352">
      <w:pPr>
        <w:numPr>
          <w:ilvl w:val="5"/>
          <w:numId w:val="4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Systemic treatment scenario, as indicated by 1 or more of the following:</w:t>
      </w:r>
    </w:p>
    <w:p w14:paraId="4737D4D4" w14:textId="77777777" w:rsidR="00AF6352" w:rsidRPr="00AF6352" w:rsidRDefault="00AF6352" w:rsidP="00AF6352">
      <w:pPr>
        <w:numPr>
          <w:ilvl w:val="6"/>
          <w:numId w:val="4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in combination with bendamustine</w:t>
      </w:r>
    </w:p>
    <w:p w14:paraId="43ECADA5" w14:textId="77777777" w:rsidR="00AF6352" w:rsidRPr="00AF6352" w:rsidRDefault="00AF6352" w:rsidP="00AF6352">
      <w:pPr>
        <w:numPr>
          <w:ilvl w:val="6"/>
          <w:numId w:val="4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in combination with CHOP chemotherapy regimen (cyclophosphamide, doxorubicin, vincristine, and prednisone)</w:t>
      </w:r>
    </w:p>
    <w:p w14:paraId="69CE6A9B" w14:textId="77777777" w:rsidR="00AF6352" w:rsidRPr="00AF6352" w:rsidRDefault="00AF6352" w:rsidP="00AF6352">
      <w:pPr>
        <w:numPr>
          <w:ilvl w:val="6"/>
          <w:numId w:val="5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in combination with CVP chemotherapy regimen (cyclophosphamide, vincristine, and prednisone)</w:t>
      </w:r>
    </w:p>
    <w:p w14:paraId="2EDCAA14" w14:textId="7C36BBF2" w:rsidR="00AF6352" w:rsidRPr="00AF6352" w:rsidRDefault="00AF6352" w:rsidP="00AF6352">
      <w:pPr>
        <w:numPr>
          <w:ilvl w:val="6"/>
          <w:numId w:val="5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xml:space="preserve">Administered as monotherapy or in combination with chlorambucil or cyclophosphamide for </w:t>
      </w:r>
      <w:r w:rsidR="001374B2" w:rsidRPr="00AF6352">
        <w:rPr>
          <w:rFonts w:ascii="Futura" w:eastAsia="Calibri" w:hAnsi="Futura" w:cs="Calibri"/>
          <w:color w:val="000000"/>
          <w:sz w:val="20"/>
          <w:szCs w:val="20"/>
          <w:lang w:bidi="en-US"/>
        </w:rPr>
        <w:t>patients</w:t>
      </w:r>
      <w:r w:rsidRPr="00AF6352">
        <w:rPr>
          <w:rFonts w:ascii="Futura" w:eastAsia="Calibri" w:hAnsi="Futura" w:cs="Calibri"/>
          <w:color w:val="000000"/>
          <w:sz w:val="20"/>
          <w:szCs w:val="20"/>
          <w:lang w:bidi="en-US"/>
        </w:rPr>
        <w:t xml:space="preserve"> who cannot tolerate first-line therapy (</w:t>
      </w:r>
      <w:r w:rsidR="001374B2" w:rsidRPr="00AF6352">
        <w:rPr>
          <w:rFonts w:ascii="Futura" w:eastAsia="Calibri" w:hAnsi="Futura" w:cs="Calibri"/>
          <w:color w:val="000000"/>
          <w:sz w:val="20"/>
          <w:szCs w:val="20"/>
          <w:lang w:bidi="en-US"/>
        </w:rPr>
        <w:t>e.g.</w:t>
      </w:r>
      <w:r w:rsidRPr="00AF6352">
        <w:rPr>
          <w:rFonts w:ascii="Futura" w:eastAsia="Calibri" w:hAnsi="Futura" w:cs="Calibri"/>
          <w:color w:val="000000"/>
          <w:sz w:val="20"/>
          <w:szCs w:val="20"/>
          <w:lang w:bidi="en-US"/>
        </w:rPr>
        <w:t>, elderly or infirm patient)</w:t>
      </w:r>
    </w:p>
    <w:p w14:paraId="62759F13" w14:textId="5A30E1A8" w:rsidR="00AF6352" w:rsidRPr="00AF6352" w:rsidRDefault="00AF6352" w:rsidP="00AF6352">
      <w:pPr>
        <w:numPr>
          <w:ilvl w:val="4"/>
          <w:numId w:val="3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Nonprogressing low-grade disease, as indicated by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556485A0" w14:textId="77777777" w:rsidR="00AF6352" w:rsidRPr="00AF6352" w:rsidRDefault="00AF6352" w:rsidP="00AF6352">
      <w:pPr>
        <w:numPr>
          <w:ilvl w:val="5"/>
          <w:numId w:val="5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0C673048" w14:textId="77777777" w:rsidR="00AF6352" w:rsidRPr="00AF6352" w:rsidRDefault="00AF6352" w:rsidP="00AF6352">
      <w:pPr>
        <w:numPr>
          <w:ilvl w:val="5"/>
          <w:numId w:val="5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Clinical scenario, as indicated by 1 or more of the following:</w:t>
      </w:r>
    </w:p>
    <w:p w14:paraId="6DB3F5DF" w14:textId="77777777" w:rsidR="00AF6352" w:rsidRPr="00AF6352" w:rsidRDefault="00AF6352" w:rsidP="00AF6352">
      <w:pPr>
        <w:numPr>
          <w:ilvl w:val="6"/>
          <w:numId w:val="5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Complete response after first-line treatment with 6 to 8 cycles of cyclophosphamide, vincristine, and prednisone</w:t>
      </w:r>
    </w:p>
    <w:p w14:paraId="2BEC634D" w14:textId="4BB64454" w:rsidR="00AF6352" w:rsidRPr="00AF6352" w:rsidRDefault="00AF6352" w:rsidP="00AF6352">
      <w:pPr>
        <w:numPr>
          <w:ilvl w:val="6"/>
          <w:numId w:val="5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Partial response</w:t>
      </w:r>
      <w:r w:rsidR="001374B2">
        <w:rPr>
          <w:rFonts w:ascii="Futura" w:eastAsia="Calibri" w:hAnsi="Futura" w:cs="Calibri"/>
          <w:color w:val="000000"/>
          <w:sz w:val="20"/>
          <w:szCs w:val="20"/>
          <w:lang w:bidi="en-US"/>
        </w:rPr>
        <w:t xml:space="preserve"> </w:t>
      </w:r>
      <w:r w:rsidRPr="00AF6352">
        <w:rPr>
          <w:rFonts w:ascii="Futura" w:eastAsia="Calibri" w:hAnsi="Futura" w:cs="Calibri"/>
          <w:color w:val="000000"/>
          <w:sz w:val="20"/>
          <w:szCs w:val="20"/>
          <w:lang w:bidi="en-US"/>
        </w:rPr>
        <w:t>after first-line treatment with 6 to 8 cycles of cyclophosphamide, vincristine, and prednisone</w:t>
      </w:r>
    </w:p>
    <w:p w14:paraId="26AA3B0B" w14:textId="77777777" w:rsidR="00AF6352" w:rsidRPr="00AF6352" w:rsidRDefault="00AF6352" w:rsidP="00AF6352">
      <w:pPr>
        <w:numPr>
          <w:ilvl w:val="6"/>
          <w:numId w:val="5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lastRenderedPageBreak/>
        <w:t>Stable disease after first-line treatment with 6 to 8 cycles of cyclophosphamide, vincristine, and prednisone</w:t>
      </w:r>
    </w:p>
    <w:p w14:paraId="6BA7E611" w14:textId="6656C608" w:rsidR="00AF6352" w:rsidRPr="00AF6352" w:rsidRDefault="00AF6352" w:rsidP="00AF6352">
      <w:pPr>
        <w:numPr>
          <w:ilvl w:val="2"/>
          <w:numId w:val="5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Subsequent course of rituximab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2332088C" w14:textId="77777777" w:rsidR="00AF6352" w:rsidRPr="00AF6352" w:rsidRDefault="00AF6352" w:rsidP="00AF6352">
      <w:pPr>
        <w:numPr>
          <w:ilvl w:val="3"/>
          <w:numId w:val="5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CD20-positive B-cell non-Hodgkin lymphoma</w:t>
      </w:r>
    </w:p>
    <w:p w14:paraId="517EABC4" w14:textId="77777777" w:rsidR="00AF6352" w:rsidRPr="00AF6352" w:rsidRDefault="00AF6352" w:rsidP="00AF6352">
      <w:pPr>
        <w:numPr>
          <w:ilvl w:val="3"/>
          <w:numId w:val="5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Clinical scenario, as indicated by 1 or more of the following:</w:t>
      </w:r>
    </w:p>
    <w:p w14:paraId="03904DEE" w14:textId="78364981" w:rsidR="00AF6352" w:rsidRPr="00AF6352" w:rsidRDefault="00AF6352" w:rsidP="00AF6352">
      <w:pPr>
        <w:numPr>
          <w:ilvl w:val="4"/>
          <w:numId w:val="5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Burkitt lymphoma, Burkitt-like lymphoma, or mature B-cell acute leukemia, with favorable response to prior first-line therapy with rituximab and chemotherapy</w:t>
      </w:r>
    </w:p>
    <w:p w14:paraId="520A6120" w14:textId="571249D9" w:rsidR="00AF6352" w:rsidRPr="00AF6352" w:rsidRDefault="00AF6352" w:rsidP="00AF6352">
      <w:pPr>
        <w:numPr>
          <w:ilvl w:val="4"/>
          <w:numId w:val="5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Diffuse large B-cell lymphoma, with favorable response to prior first-line therapy with rituximab and chemotherapy</w:t>
      </w:r>
      <w:bookmarkStart w:id="20" w:name="cl_c_212"/>
      <w:bookmarkEnd w:id="20"/>
      <w:r w:rsidR="001374B2" w:rsidRPr="00AF6352">
        <w:rPr>
          <w:rFonts w:ascii="Futura" w:eastAsia="Calibri" w:hAnsi="Futura" w:cs="Calibri"/>
          <w:color w:val="000000"/>
          <w:sz w:val="20"/>
          <w:szCs w:val="20"/>
          <w:lang w:bidi="en-US"/>
        </w:rPr>
        <w:t xml:space="preserve"> </w:t>
      </w:r>
    </w:p>
    <w:p w14:paraId="733CF545" w14:textId="3EF95DA4" w:rsidR="00AF6352" w:rsidRPr="00AF6352" w:rsidRDefault="00AF6352" w:rsidP="00AF6352">
      <w:pPr>
        <w:numPr>
          <w:ilvl w:val="4"/>
          <w:numId w:val="5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Follicular lymphoma, with favorable response to prior first-line therapy with rituximab, and 1 or more of the following</w:t>
      </w:r>
      <w:bookmarkStart w:id="21" w:name="cl_c_213"/>
      <w:bookmarkEnd w:id="21"/>
      <w:r w:rsidRPr="00AF6352">
        <w:rPr>
          <w:rFonts w:ascii="Futura" w:eastAsia="Calibri" w:hAnsi="Futura" w:cs="Calibri"/>
          <w:color w:val="000000"/>
          <w:sz w:val="20"/>
          <w:szCs w:val="20"/>
          <w:lang w:bidi="en-US"/>
        </w:rPr>
        <w:t>:</w:t>
      </w:r>
    </w:p>
    <w:p w14:paraId="049A4072" w14:textId="7F8A3571" w:rsidR="00AF6352" w:rsidRPr="00AF6352" w:rsidRDefault="00AF6352" w:rsidP="00AF6352">
      <w:pPr>
        <w:numPr>
          <w:ilvl w:val="5"/>
          <w:numId w:val="6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Maintenance treatment</w:t>
      </w:r>
    </w:p>
    <w:p w14:paraId="2CA709F1" w14:textId="7039963E" w:rsidR="00AF6352" w:rsidRPr="00AF6352" w:rsidRDefault="00AF6352" w:rsidP="00AF6352">
      <w:pPr>
        <w:numPr>
          <w:ilvl w:val="5"/>
          <w:numId w:val="6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Relapsed or refractory disease</w:t>
      </w:r>
    </w:p>
    <w:p w14:paraId="1F3522B1" w14:textId="77777777" w:rsidR="00AF6352" w:rsidRPr="00AF6352" w:rsidRDefault="00AF6352" w:rsidP="00AF6352">
      <w:pPr>
        <w:numPr>
          <w:ilvl w:val="4"/>
          <w:numId w:val="5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Mantle cell lymphoma, with favorable response to prior treatment with rituximab</w:t>
      </w:r>
    </w:p>
    <w:p w14:paraId="5480A65C" w14:textId="77777777" w:rsidR="00AF6352" w:rsidRPr="00AF6352" w:rsidRDefault="00AF6352" w:rsidP="00AF6352">
      <w:pPr>
        <w:numPr>
          <w:ilvl w:val="4"/>
          <w:numId w:val="5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Marginal zone lymphoma (gastric and nongastric mucosa-associated lymphoid tissue (MALT), nodal marginal zone lymphoma, splenic marginal zone lymphoma) requiring systemic therapy, with favorable response to prior treatment with rituximab, as indicated by 1 or more of the following:</w:t>
      </w:r>
    </w:p>
    <w:p w14:paraId="667AEAE4" w14:textId="7243DBEF" w:rsidR="00AF6352" w:rsidRPr="00AF6352" w:rsidRDefault="00AF6352" w:rsidP="00AF6352">
      <w:pPr>
        <w:numPr>
          <w:ilvl w:val="5"/>
          <w:numId w:val="6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xml:space="preserve">Administered as monotherapy for </w:t>
      </w:r>
      <w:r w:rsidR="00E25251" w:rsidRPr="00AF6352">
        <w:rPr>
          <w:rFonts w:ascii="Futura" w:eastAsia="Calibri" w:hAnsi="Futura" w:cs="Calibri"/>
          <w:color w:val="000000"/>
          <w:sz w:val="20"/>
          <w:szCs w:val="20"/>
          <w:lang w:bidi="en-US"/>
        </w:rPr>
        <w:t>patients</w:t>
      </w:r>
      <w:r w:rsidRPr="00AF6352">
        <w:rPr>
          <w:rFonts w:ascii="Futura" w:eastAsia="Calibri" w:hAnsi="Futura" w:cs="Calibri"/>
          <w:color w:val="000000"/>
          <w:sz w:val="20"/>
          <w:szCs w:val="20"/>
          <w:lang w:bidi="en-US"/>
        </w:rPr>
        <w:t xml:space="preserve"> who cannot tolerate first-line therapy (</w:t>
      </w:r>
      <w:r w:rsidR="00E25251" w:rsidRPr="00AF6352">
        <w:rPr>
          <w:rFonts w:ascii="Futura" w:eastAsia="Calibri" w:hAnsi="Futura" w:cs="Calibri"/>
          <w:color w:val="000000"/>
          <w:sz w:val="20"/>
          <w:szCs w:val="20"/>
          <w:lang w:bidi="en-US"/>
        </w:rPr>
        <w:t>e.g.</w:t>
      </w:r>
      <w:r w:rsidRPr="00AF6352">
        <w:rPr>
          <w:rFonts w:ascii="Futura" w:eastAsia="Calibri" w:hAnsi="Futura" w:cs="Calibri"/>
          <w:color w:val="000000"/>
          <w:sz w:val="20"/>
          <w:szCs w:val="20"/>
          <w:lang w:bidi="en-US"/>
        </w:rPr>
        <w:t xml:space="preserve">, elderly or infirm </w:t>
      </w:r>
      <w:r w:rsidR="00E25251" w:rsidRPr="00AF6352">
        <w:rPr>
          <w:rFonts w:ascii="Futura" w:eastAsia="Calibri" w:hAnsi="Futura" w:cs="Calibri"/>
          <w:color w:val="000000"/>
          <w:sz w:val="20"/>
          <w:szCs w:val="20"/>
          <w:lang w:bidi="en-US"/>
        </w:rPr>
        <w:t>patients</w:t>
      </w:r>
      <w:r w:rsidRPr="00AF6352">
        <w:rPr>
          <w:rFonts w:ascii="Futura" w:eastAsia="Calibri" w:hAnsi="Futura" w:cs="Calibri"/>
          <w:color w:val="000000"/>
          <w:sz w:val="20"/>
          <w:szCs w:val="20"/>
          <w:lang w:bidi="en-US"/>
        </w:rPr>
        <w:t>)</w:t>
      </w:r>
    </w:p>
    <w:p w14:paraId="14921402" w14:textId="77777777" w:rsidR="00AF6352" w:rsidRPr="00AF6352" w:rsidRDefault="00AF6352" w:rsidP="00AF6352">
      <w:pPr>
        <w:numPr>
          <w:ilvl w:val="5"/>
          <w:numId w:val="6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as combination therapy</w:t>
      </w:r>
    </w:p>
    <w:p w14:paraId="431648C6" w14:textId="29BFDE89"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Pemphigus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48F2A8AC" w14:textId="77777777" w:rsidR="00AF6352" w:rsidRPr="00AF6352" w:rsidRDefault="00AF6352" w:rsidP="00AF6352">
      <w:pPr>
        <w:numPr>
          <w:ilvl w:val="2"/>
          <w:numId w:val="6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203DB909" w14:textId="77777777" w:rsidR="00AF6352" w:rsidRPr="00AF6352" w:rsidRDefault="00AF6352" w:rsidP="00AF6352">
      <w:pPr>
        <w:numPr>
          <w:ilvl w:val="2"/>
          <w:numId w:val="6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Clinical scenario, as indicated by 1 or more of the following:</w:t>
      </w:r>
    </w:p>
    <w:p w14:paraId="7AF04CFB" w14:textId="77777777" w:rsidR="00AF6352" w:rsidRPr="00AF6352" w:rsidRDefault="00AF6352" w:rsidP="00AF6352">
      <w:pPr>
        <w:numPr>
          <w:ilvl w:val="3"/>
          <w:numId w:val="6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Initial therapy, and administered with corticosteroids</w:t>
      </w:r>
    </w:p>
    <w:p w14:paraId="6FC63AA8" w14:textId="77777777" w:rsidR="00AF6352" w:rsidRPr="00AF6352" w:rsidRDefault="00AF6352" w:rsidP="00AF6352">
      <w:pPr>
        <w:numPr>
          <w:ilvl w:val="3"/>
          <w:numId w:val="6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Maintenance therapy</w:t>
      </w:r>
    </w:p>
    <w:p w14:paraId="22C53A71" w14:textId="76C6506D"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Post-transplant lymphoproliferative disorder after solid organ transplant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035FBAD3" w14:textId="77777777" w:rsidR="00AF6352" w:rsidRPr="00AF6352" w:rsidRDefault="00AF6352" w:rsidP="00AF6352">
      <w:pPr>
        <w:numPr>
          <w:ilvl w:val="2"/>
          <w:numId w:val="6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CD20-positive B-cell disease</w:t>
      </w:r>
    </w:p>
    <w:p w14:paraId="0A8EE5DB" w14:textId="77777777" w:rsidR="00AF6352" w:rsidRPr="00AF6352" w:rsidRDefault="00AF6352" w:rsidP="00AF6352">
      <w:pPr>
        <w:numPr>
          <w:ilvl w:val="2"/>
          <w:numId w:val="6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Disease activity and treatment scenario includes 1 or more of the following:</w:t>
      </w:r>
    </w:p>
    <w:p w14:paraId="2714B4B0" w14:textId="2188C998" w:rsidR="00AF6352" w:rsidRPr="00AF6352" w:rsidRDefault="00E25251" w:rsidP="00AF6352">
      <w:pPr>
        <w:numPr>
          <w:ilvl w:val="3"/>
          <w:numId w:val="7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Adults</w:t>
      </w:r>
      <w:r w:rsidR="00AF6352" w:rsidRPr="00AF6352">
        <w:rPr>
          <w:rFonts w:ascii="Futura" w:eastAsia="Calibri" w:hAnsi="Futura" w:cs="Calibri"/>
          <w:color w:val="000000"/>
          <w:sz w:val="20"/>
          <w:szCs w:val="20"/>
          <w:lang w:bidi="en-US"/>
        </w:rPr>
        <w:t xml:space="preserve"> with failure to respond to reduction of immunosuppressive therapy</w:t>
      </w:r>
      <w:bookmarkStart w:id="22" w:name="cl_c_242"/>
      <w:bookmarkEnd w:id="22"/>
      <w:r w:rsidRPr="00AF6352">
        <w:rPr>
          <w:rFonts w:ascii="Futura" w:eastAsia="Calibri" w:hAnsi="Futura" w:cs="Calibri"/>
          <w:color w:val="000000"/>
          <w:sz w:val="20"/>
          <w:szCs w:val="20"/>
          <w:lang w:bidi="en-US"/>
        </w:rPr>
        <w:t xml:space="preserve"> </w:t>
      </w:r>
    </w:p>
    <w:p w14:paraId="60648B45" w14:textId="3B83BE7C" w:rsidR="00AF6352" w:rsidRPr="00AF6352" w:rsidRDefault="00AF6352" w:rsidP="00AF6352">
      <w:pPr>
        <w:numPr>
          <w:ilvl w:val="3"/>
          <w:numId w:val="7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Child with 1 or more of the following:</w:t>
      </w:r>
    </w:p>
    <w:p w14:paraId="0C3FACE9" w14:textId="77777777" w:rsidR="00AF6352" w:rsidRPr="00AF6352" w:rsidRDefault="00AF6352" w:rsidP="00AF6352">
      <w:pPr>
        <w:numPr>
          <w:ilvl w:val="4"/>
          <w:numId w:val="7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Failure to respond to reduction of immunosuppressive therapy</w:t>
      </w:r>
    </w:p>
    <w:p w14:paraId="01D92E21" w14:textId="77777777" w:rsidR="00AF6352" w:rsidRPr="00AF6352" w:rsidRDefault="00AF6352" w:rsidP="00AF6352">
      <w:pPr>
        <w:numPr>
          <w:ilvl w:val="4"/>
          <w:numId w:val="7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High risk of rejection with reduction of immunosuppressive therapy</w:t>
      </w:r>
    </w:p>
    <w:p w14:paraId="03CB6668" w14:textId="77777777" w:rsidR="00AF6352" w:rsidRPr="00AF6352" w:rsidRDefault="00AF6352" w:rsidP="00AF6352">
      <w:pPr>
        <w:numPr>
          <w:ilvl w:val="4"/>
          <w:numId w:val="7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Persistent or progressive post-transplant lymphoproliferative disorder in absence of allograft rejection</w:t>
      </w:r>
    </w:p>
    <w:p w14:paraId="2D246306" w14:textId="17AAA1A4"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Rheumatoid arthritis, as indicated by 1 or more of the following:</w:t>
      </w:r>
    </w:p>
    <w:p w14:paraId="67F7B356" w14:textId="26E081B5" w:rsidR="00AF6352" w:rsidRPr="00AF6352" w:rsidRDefault="00AF6352" w:rsidP="00AF6352">
      <w:pPr>
        <w:numPr>
          <w:ilvl w:val="2"/>
          <w:numId w:val="7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Initial course of rituximab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24A7D6DA" w14:textId="77777777" w:rsidR="00AF6352" w:rsidRPr="00AF6352" w:rsidRDefault="00AF6352" w:rsidP="00AF6352">
      <w:pPr>
        <w:numPr>
          <w:ilvl w:val="3"/>
          <w:numId w:val="7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55EA3ADE" w14:textId="77777777" w:rsidR="00AF6352" w:rsidRPr="00AF6352" w:rsidRDefault="00AF6352" w:rsidP="00AF6352">
      <w:pPr>
        <w:numPr>
          <w:ilvl w:val="3"/>
          <w:numId w:val="7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in combination with methotrexate, unless unable to tolerate methotrexate</w:t>
      </w:r>
    </w:p>
    <w:p w14:paraId="15E1300A" w14:textId="49170185" w:rsidR="00AF6352" w:rsidRPr="00AF6352" w:rsidRDefault="00AF6352" w:rsidP="00AF6352">
      <w:pPr>
        <w:numPr>
          <w:ilvl w:val="3"/>
          <w:numId w:val="7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Moderate to severe active rheumatoid arthritis, as indicated by 1 or more of the following</w:t>
      </w:r>
      <w:bookmarkStart w:id="23" w:name="cl_c_270"/>
      <w:bookmarkEnd w:id="23"/>
      <w:r w:rsidRPr="00AF6352">
        <w:rPr>
          <w:rFonts w:ascii="Futura" w:eastAsia="Calibri" w:hAnsi="Futura" w:cs="Calibri"/>
          <w:color w:val="000000"/>
          <w:sz w:val="20"/>
          <w:szCs w:val="20"/>
          <w:lang w:bidi="en-US"/>
        </w:rPr>
        <w:t>:</w:t>
      </w:r>
    </w:p>
    <w:p w14:paraId="7AFCBDDB" w14:textId="12A2174C" w:rsidR="00AF6352" w:rsidRPr="00AF6352" w:rsidRDefault="00AF6352" w:rsidP="00AF6352">
      <w:pPr>
        <w:numPr>
          <w:ilvl w:val="4"/>
          <w:numId w:val="7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Clinical Disease Activity Index score greater than 10</w:t>
      </w:r>
    </w:p>
    <w:p w14:paraId="4D0C6CAD" w14:textId="4B5668FC" w:rsidR="00AF6352" w:rsidRPr="00AF6352" w:rsidRDefault="00AF6352" w:rsidP="00AF6352">
      <w:pPr>
        <w:numPr>
          <w:ilvl w:val="4"/>
          <w:numId w:val="7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lastRenderedPageBreak/>
        <w:t>Disease Activity Score of 3.2 or greater</w:t>
      </w:r>
    </w:p>
    <w:p w14:paraId="70B1F4E6" w14:textId="4D066BC1" w:rsidR="00AF6352" w:rsidRPr="00AF6352" w:rsidRDefault="00AF6352" w:rsidP="00AF6352">
      <w:pPr>
        <w:numPr>
          <w:ilvl w:val="4"/>
          <w:numId w:val="7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Patient Activity Scale of 3.71 or greater</w:t>
      </w:r>
    </w:p>
    <w:p w14:paraId="760D0367" w14:textId="0A60ADA6" w:rsidR="00AF6352" w:rsidRPr="00AF6352" w:rsidRDefault="00AF6352" w:rsidP="00AF6352">
      <w:pPr>
        <w:numPr>
          <w:ilvl w:val="4"/>
          <w:numId w:val="7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Patient Activity Scale-II of 3.71 or greater</w:t>
      </w:r>
    </w:p>
    <w:p w14:paraId="6C487D54" w14:textId="7E313FDE" w:rsidR="00AF6352" w:rsidRPr="00AF6352" w:rsidRDefault="00AF6352" w:rsidP="00AF6352">
      <w:pPr>
        <w:numPr>
          <w:ilvl w:val="4"/>
          <w:numId w:val="7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Routine Assessment of Patient Index Data 3 score greater than 2</w:t>
      </w:r>
    </w:p>
    <w:p w14:paraId="33FCE38C" w14:textId="65EB9656" w:rsidR="00AF6352" w:rsidRPr="00AF6352" w:rsidRDefault="00AF6352" w:rsidP="00AF6352">
      <w:pPr>
        <w:numPr>
          <w:ilvl w:val="4"/>
          <w:numId w:val="7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Simplified Disease Activity Index score greater than 11</w:t>
      </w:r>
    </w:p>
    <w:p w14:paraId="07B23839" w14:textId="67DA2829" w:rsidR="00AF6352" w:rsidRPr="00AF6352" w:rsidRDefault="00AF6352" w:rsidP="00AF6352">
      <w:pPr>
        <w:numPr>
          <w:ilvl w:val="2"/>
          <w:numId w:val="7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Subsequent course of rituximab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5B238553" w14:textId="77777777" w:rsidR="00AF6352" w:rsidRPr="00AF6352" w:rsidRDefault="00AF6352" w:rsidP="00AF6352">
      <w:pPr>
        <w:numPr>
          <w:ilvl w:val="3"/>
          <w:numId w:val="7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7CBE97D7" w14:textId="77777777" w:rsidR="00AF6352" w:rsidRPr="00AF6352" w:rsidRDefault="00AF6352" w:rsidP="00AF6352">
      <w:pPr>
        <w:numPr>
          <w:ilvl w:val="3"/>
          <w:numId w:val="7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in combination with methotrexate, unless unable to tolerate methotrexate</w:t>
      </w:r>
    </w:p>
    <w:p w14:paraId="36D41961" w14:textId="77777777" w:rsidR="00AF6352" w:rsidRPr="00AF6352" w:rsidRDefault="00AF6352" w:rsidP="00AF6352">
      <w:pPr>
        <w:numPr>
          <w:ilvl w:val="3"/>
          <w:numId w:val="7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Favorable response to prior administration of rituximab</w:t>
      </w:r>
    </w:p>
    <w:p w14:paraId="01DE64E6" w14:textId="39D8CF51"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Thrombotic thrombocytopenic purpura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p>
    <w:p w14:paraId="4BD18A0B" w14:textId="77777777" w:rsidR="00AF6352" w:rsidRPr="00AF6352" w:rsidRDefault="00AF6352" w:rsidP="00AF6352">
      <w:pPr>
        <w:numPr>
          <w:ilvl w:val="2"/>
          <w:numId w:val="8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40A9B492" w14:textId="77777777" w:rsidR="00AF6352" w:rsidRPr="00AF6352" w:rsidRDefault="00AF6352" w:rsidP="00AF6352">
      <w:pPr>
        <w:numPr>
          <w:ilvl w:val="2"/>
          <w:numId w:val="8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Disease severity includes 1 or more of the following:</w:t>
      </w:r>
    </w:p>
    <w:p w14:paraId="49811716" w14:textId="51428F88" w:rsidR="00AF6352" w:rsidRPr="00AF6352" w:rsidRDefault="00AF6352" w:rsidP="00AF6352">
      <w:pPr>
        <w:numPr>
          <w:ilvl w:val="3"/>
          <w:numId w:val="8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Acute disease with either cardiac (</w:t>
      </w:r>
      <w:r w:rsidR="0091524E" w:rsidRPr="00AF6352">
        <w:rPr>
          <w:rFonts w:ascii="Futura" w:eastAsia="Calibri" w:hAnsi="Futura" w:cs="Calibri"/>
          <w:color w:val="000000"/>
          <w:sz w:val="20"/>
          <w:szCs w:val="20"/>
          <w:lang w:bidi="en-US"/>
        </w:rPr>
        <w:t>e.g.</w:t>
      </w:r>
      <w:r w:rsidRPr="00AF6352">
        <w:rPr>
          <w:rFonts w:ascii="Futura" w:eastAsia="Calibri" w:hAnsi="Futura" w:cs="Calibri"/>
          <w:color w:val="000000"/>
          <w:sz w:val="20"/>
          <w:szCs w:val="20"/>
          <w:lang w:bidi="en-US"/>
        </w:rPr>
        <w:t>, increased troponin) or neurologic pathology</w:t>
      </w:r>
    </w:p>
    <w:p w14:paraId="785F7CDB" w14:textId="77777777" w:rsidR="00AF6352" w:rsidRPr="00AF6352" w:rsidRDefault="00AF6352" w:rsidP="00AF6352">
      <w:pPr>
        <w:numPr>
          <w:ilvl w:val="3"/>
          <w:numId w:val="8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Recurrent disease</w:t>
      </w:r>
    </w:p>
    <w:p w14:paraId="0245E3E9" w14:textId="5A698113" w:rsidR="00AF6352" w:rsidRPr="00AF6352" w:rsidRDefault="00AF6352" w:rsidP="00AF6352">
      <w:pPr>
        <w:numPr>
          <w:ilvl w:val="3"/>
          <w:numId w:val="8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Refractory disease (</w:t>
      </w:r>
      <w:r w:rsidR="0091524E" w:rsidRPr="00AF6352">
        <w:rPr>
          <w:rFonts w:ascii="Futura" w:eastAsia="Calibri" w:hAnsi="Futura" w:cs="Calibri"/>
          <w:color w:val="000000"/>
          <w:sz w:val="20"/>
          <w:szCs w:val="20"/>
          <w:lang w:bidi="en-US"/>
        </w:rPr>
        <w:t>i.e.</w:t>
      </w:r>
      <w:r w:rsidRPr="00AF6352">
        <w:rPr>
          <w:rFonts w:ascii="Futura" w:eastAsia="Calibri" w:hAnsi="Futura" w:cs="Calibri"/>
          <w:color w:val="000000"/>
          <w:sz w:val="20"/>
          <w:szCs w:val="20"/>
          <w:lang w:bidi="en-US"/>
        </w:rPr>
        <w:t>, to plasma exchange and corticosteroids)</w:t>
      </w:r>
    </w:p>
    <w:p w14:paraId="4E4508FB" w14:textId="668874B5" w:rsidR="00AF6352" w:rsidRPr="00AF6352" w:rsidRDefault="00AF6352" w:rsidP="00AF6352">
      <w:pPr>
        <w:numPr>
          <w:ilvl w:val="1"/>
          <w:numId w:val="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Waldenstrom macroglobulinemia, as indicated by 1 or more of the following:</w:t>
      </w:r>
    </w:p>
    <w:p w14:paraId="49766CE3" w14:textId="1384AC5F" w:rsidR="00AF6352" w:rsidRPr="00AF6352" w:rsidRDefault="00AF6352" w:rsidP="00AF6352">
      <w:pPr>
        <w:numPr>
          <w:ilvl w:val="2"/>
          <w:numId w:val="8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Initial course of rituximab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bookmarkStart w:id="24" w:name="cl_c_297"/>
      <w:bookmarkEnd w:id="24"/>
      <w:r w:rsidRPr="00AF6352">
        <w:rPr>
          <w:rFonts w:ascii="Futura" w:eastAsia="Calibri" w:hAnsi="Futura" w:cs="Calibri"/>
          <w:color w:val="000000"/>
          <w:sz w:val="20"/>
          <w:szCs w:val="20"/>
          <w:lang w:bidi="en-US"/>
        </w:rPr>
        <w:t>:</w:t>
      </w:r>
    </w:p>
    <w:p w14:paraId="5F3C19ED" w14:textId="77777777" w:rsidR="00AF6352" w:rsidRPr="00AF6352" w:rsidRDefault="00AF6352" w:rsidP="00AF6352">
      <w:pPr>
        <w:numPr>
          <w:ilvl w:val="3"/>
          <w:numId w:val="8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1FBB94A8" w14:textId="77777777" w:rsidR="00AF6352" w:rsidRPr="00AF6352" w:rsidRDefault="00AF6352" w:rsidP="00AF6352">
      <w:pPr>
        <w:numPr>
          <w:ilvl w:val="3"/>
          <w:numId w:val="87"/>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Administered as single agent or in combination with other agents</w:t>
      </w:r>
    </w:p>
    <w:p w14:paraId="7A42B8A9" w14:textId="6F168E80" w:rsidR="00AF6352" w:rsidRPr="00AF6352" w:rsidRDefault="00AF6352" w:rsidP="00AF6352">
      <w:pPr>
        <w:numPr>
          <w:ilvl w:val="3"/>
          <w:numId w:val="88"/>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Primary therapy needed</w:t>
      </w:r>
      <w:bookmarkStart w:id="25" w:name="cl_c_300"/>
      <w:bookmarkEnd w:id="25"/>
    </w:p>
    <w:p w14:paraId="6CB31E1B" w14:textId="10F2542D" w:rsidR="00AF6352" w:rsidRPr="00AF6352" w:rsidRDefault="00AF6352" w:rsidP="00AF6352">
      <w:pPr>
        <w:numPr>
          <w:ilvl w:val="2"/>
          <w:numId w:val="89"/>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Subsequent course of rituximab and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bookmarkStart w:id="26" w:name="cl_c_301"/>
      <w:bookmarkEnd w:id="26"/>
      <w:r w:rsidRPr="00AF6352">
        <w:rPr>
          <w:rFonts w:ascii="Futura" w:eastAsia="Calibri" w:hAnsi="Futura" w:cs="Calibri"/>
          <w:color w:val="000000"/>
          <w:sz w:val="20"/>
          <w:szCs w:val="20"/>
          <w:lang w:bidi="en-US"/>
        </w:rPr>
        <w:t>:</w:t>
      </w:r>
    </w:p>
    <w:p w14:paraId="2E96F59C" w14:textId="77777777" w:rsidR="00AF6352" w:rsidRPr="00AF6352" w:rsidRDefault="00AF6352" w:rsidP="00AF6352">
      <w:pPr>
        <w:numPr>
          <w:ilvl w:val="3"/>
          <w:numId w:val="90"/>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Age 18 years or older</w:t>
      </w:r>
    </w:p>
    <w:p w14:paraId="705928A0" w14:textId="36C60BC4" w:rsidR="00AF6352" w:rsidRPr="00AF6352" w:rsidRDefault="00AF6352" w:rsidP="00AF6352">
      <w:pPr>
        <w:numPr>
          <w:ilvl w:val="3"/>
          <w:numId w:val="9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Partial or complete response to initial course of rituximab, as evidenced by </w:t>
      </w:r>
      <w:r w:rsidR="00270F57" w:rsidRPr="00AF6352">
        <w:rPr>
          <w:rFonts w:ascii="Futura" w:eastAsia="Calibri" w:hAnsi="Futura" w:cs="Calibri"/>
          <w:color w:val="000000"/>
          <w:sz w:val="20"/>
          <w:szCs w:val="20"/>
          <w:lang w:bidi="en-US"/>
        </w:rPr>
        <w:t>ALL</w:t>
      </w:r>
      <w:r w:rsidRPr="00AF6352">
        <w:rPr>
          <w:rFonts w:ascii="Futura" w:eastAsia="Calibri" w:hAnsi="Futura" w:cs="Calibri"/>
          <w:color w:val="000000"/>
          <w:sz w:val="20"/>
          <w:szCs w:val="20"/>
          <w:lang w:bidi="en-US"/>
        </w:rPr>
        <w:t xml:space="preserve"> the following</w:t>
      </w:r>
      <w:bookmarkStart w:id="27" w:name="cl_c_304"/>
      <w:bookmarkEnd w:id="27"/>
      <w:r w:rsidRPr="00AF6352">
        <w:rPr>
          <w:rFonts w:ascii="Futura" w:eastAsia="Calibri" w:hAnsi="Futura" w:cs="Calibri"/>
          <w:color w:val="000000"/>
          <w:sz w:val="20"/>
          <w:szCs w:val="20"/>
          <w:lang w:bidi="en-US"/>
        </w:rPr>
        <w:t>:</w:t>
      </w:r>
    </w:p>
    <w:p w14:paraId="277882DB" w14:textId="77777777" w:rsidR="00AF6352" w:rsidRPr="00AF6352" w:rsidRDefault="00AF6352" w:rsidP="00AF6352">
      <w:pPr>
        <w:numPr>
          <w:ilvl w:val="4"/>
          <w:numId w:val="9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Fifty percent or greater reduction in adenopathy and/or organomegaly, if present with initial treatment, on physical examination or CT scan</w:t>
      </w:r>
    </w:p>
    <w:p w14:paraId="5540C16E" w14:textId="77777777" w:rsidR="00AF6352" w:rsidRPr="00AF6352" w:rsidRDefault="00AF6352" w:rsidP="00AF6352">
      <w:pPr>
        <w:numPr>
          <w:ilvl w:val="4"/>
          <w:numId w:val="9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Fifty percent or greater reduction of serum monoclonal IgM protein by serum electrophoresis</w:t>
      </w:r>
    </w:p>
    <w:p w14:paraId="304989CE" w14:textId="77777777" w:rsidR="00AF6352" w:rsidRPr="00AF6352" w:rsidRDefault="00AF6352" w:rsidP="00AF6352">
      <w:pPr>
        <w:numPr>
          <w:ilvl w:val="4"/>
          <w:numId w:val="91"/>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No new symptoms or signs of disease</w:t>
      </w:r>
    </w:p>
    <w:p w14:paraId="10386C72" w14:textId="54EC11D3" w:rsidR="00AF6352" w:rsidRPr="00AF6352" w:rsidRDefault="00AF6352" w:rsidP="00AF6352">
      <w:pPr>
        <w:numPr>
          <w:ilvl w:val="3"/>
          <w:numId w:val="92"/>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 xml:space="preserve">Response to </w:t>
      </w:r>
      <w:r w:rsidR="00270F57" w:rsidRPr="00AF6352">
        <w:rPr>
          <w:rFonts w:ascii="Futura" w:eastAsia="Calibri" w:hAnsi="Futura" w:cs="Calibri"/>
          <w:color w:val="000000"/>
          <w:sz w:val="20"/>
          <w:szCs w:val="20"/>
          <w:lang w:bidi="en-US"/>
        </w:rPr>
        <w:t>the initial</w:t>
      </w:r>
      <w:r w:rsidRPr="00AF6352">
        <w:rPr>
          <w:rFonts w:ascii="Futura" w:eastAsia="Calibri" w:hAnsi="Futura" w:cs="Calibri"/>
          <w:color w:val="000000"/>
          <w:sz w:val="20"/>
          <w:szCs w:val="20"/>
          <w:lang w:bidi="en-US"/>
        </w:rPr>
        <w:t xml:space="preserve"> rituximab course lasted at least 12 months.</w:t>
      </w:r>
      <w:bookmarkStart w:id="28" w:name="cl_c_305"/>
      <w:bookmarkEnd w:id="28"/>
      <w:r w:rsidR="0091524E" w:rsidRPr="00AF6352">
        <w:rPr>
          <w:rFonts w:ascii="Futura" w:eastAsia="Calibri" w:hAnsi="Futura" w:cs="Calibri"/>
          <w:color w:val="000000"/>
          <w:sz w:val="20"/>
          <w:szCs w:val="20"/>
          <w:lang w:bidi="en-US"/>
        </w:rPr>
        <w:t xml:space="preserve"> </w:t>
      </w:r>
    </w:p>
    <w:p w14:paraId="5FA50543" w14:textId="6E9F6BE2" w:rsidR="00AF6352" w:rsidRPr="00AF6352" w:rsidRDefault="00AF6352" w:rsidP="00AF6352">
      <w:pPr>
        <w:numPr>
          <w:ilvl w:val="0"/>
          <w:numId w:val="93"/>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No active hepatitis B infection (</w:t>
      </w:r>
      <w:r w:rsidR="0091524E" w:rsidRPr="00AF6352">
        <w:rPr>
          <w:rFonts w:ascii="Futura" w:eastAsia="Calibri" w:hAnsi="Futura" w:cs="Calibri"/>
          <w:color w:val="000000"/>
          <w:sz w:val="20"/>
          <w:szCs w:val="20"/>
          <w:lang w:bidi="en-US"/>
        </w:rPr>
        <w:t>i.e.</w:t>
      </w:r>
      <w:r w:rsidRPr="00AF6352">
        <w:rPr>
          <w:rFonts w:ascii="Futura" w:eastAsia="Calibri" w:hAnsi="Futura" w:cs="Calibri"/>
          <w:color w:val="000000"/>
          <w:sz w:val="20"/>
          <w:szCs w:val="20"/>
          <w:lang w:bidi="en-US"/>
        </w:rPr>
        <w:t>, negative hepatitis B surface antigen and negative hepatitis B core antibody testing)</w:t>
      </w:r>
    </w:p>
    <w:p w14:paraId="58C7CFDA" w14:textId="77777777" w:rsidR="00AF6352" w:rsidRPr="00AF6352" w:rsidRDefault="00AF6352" w:rsidP="00AF6352">
      <w:pPr>
        <w:numPr>
          <w:ilvl w:val="0"/>
          <w:numId w:val="94"/>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No concurrent use of live vaccine</w:t>
      </w:r>
    </w:p>
    <w:p w14:paraId="047DC959" w14:textId="62EA627B" w:rsidR="00AF6352" w:rsidRPr="00AF6352" w:rsidRDefault="00AF6352" w:rsidP="00AF6352">
      <w:pPr>
        <w:numPr>
          <w:ilvl w:val="0"/>
          <w:numId w:val="95"/>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No severe or active infection (</w:t>
      </w:r>
      <w:r w:rsidR="0091524E" w:rsidRPr="00AF6352">
        <w:rPr>
          <w:rFonts w:ascii="Futura" w:eastAsia="Calibri" w:hAnsi="Futura" w:cs="Calibri"/>
          <w:color w:val="000000"/>
          <w:sz w:val="20"/>
          <w:szCs w:val="20"/>
          <w:lang w:bidi="en-US"/>
        </w:rPr>
        <w:t>e.g.</w:t>
      </w:r>
      <w:r w:rsidRPr="00AF6352">
        <w:rPr>
          <w:rFonts w:ascii="Futura" w:eastAsia="Calibri" w:hAnsi="Futura" w:cs="Calibri"/>
          <w:color w:val="000000"/>
          <w:sz w:val="20"/>
          <w:szCs w:val="20"/>
          <w:lang w:bidi="en-US"/>
        </w:rPr>
        <w:t>, cellulitis, colitis, pneumonia, sepsis, urinary tract infection)</w:t>
      </w:r>
      <w:bookmarkStart w:id="29" w:name="cl_c_306"/>
      <w:bookmarkEnd w:id="29"/>
    </w:p>
    <w:p w14:paraId="68A20511" w14:textId="77777777" w:rsidR="00AF6352" w:rsidRPr="00AF6352" w:rsidRDefault="00AF6352" w:rsidP="00AF6352">
      <w:pPr>
        <w:numPr>
          <w:ilvl w:val="0"/>
          <w:numId w:val="96"/>
        </w:numPr>
        <w:spacing w:after="0" w:line="240" w:lineRule="auto"/>
        <w:rPr>
          <w:rFonts w:ascii="Futura" w:eastAsia="Calibri" w:hAnsi="Futura" w:cs="Calibri"/>
          <w:color w:val="000000"/>
          <w:sz w:val="20"/>
          <w:szCs w:val="20"/>
          <w:lang w:bidi="en-US"/>
        </w:rPr>
      </w:pPr>
      <w:r w:rsidRPr="00AF6352">
        <w:rPr>
          <w:rFonts w:ascii="Futura" w:eastAsia="Calibri" w:hAnsi="Futura" w:cs="Calibri"/>
          <w:color w:val="000000"/>
          <w:sz w:val="20"/>
          <w:szCs w:val="20"/>
          <w:lang w:bidi="en-US"/>
        </w:rPr>
        <w:t>No untreated latent or active tuberculosis</w:t>
      </w:r>
    </w:p>
    <w:p w14:paraId="00295D19" w14:textId="77777777" w:rsidR="009F51BE" w:rsidRDefault="009F51BE" w:rsidP="009F51BE">
      <w:pPr>
        <w:spacing w:after="0" w:line="240" w:lineRule="auto"/>
        <w:rPr>
          <w:rFonts w:ascii="Futura" w:eastAsia="Calibri" w:hAnsi="Futura" w:cs="Calibri"/>
          <w:color w:val="000000"/>
          <w:sz w:val="20"/>
          <w:szCs w:val="20"/>
          <w:lang w:bidi="en-US"/>
        </w:rPr>
      </w:pPr>
    </w:p>
    <w:p w14:paraId="7B502808" w14:textId="77777777" w:rsidR="007022FA" w:rsidRPr="007022FA" w:rsidRDefault="007022FA" w:rsidP="007022FA">
      <w:p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RITUXIMAB is a genetically engineered chimeric murine/human monoclonal immunoglobulin G1 (IgG1) kappa antibody directed against the CD20 antigen. Rituximab binds specifically to the antigen CD20 (human B-lymphocyte-restricted differentiation antigen, Bp35), a hydrophobic transmembrane protein with a molecular weight of approximately 35 kD located on pre-B and mature B lymphocytes. The antigen is expressed on &gt;90% of B-cell non-Hodgkin’s lymphomas (NHL), but the antigen is not found on hematopoietic stem cells, pro-B-cells, normal plasma cells or other normal tissues.</w:t>
      </w:r>
    </w:p>
    <w:p w14:paraId="4D1CC24D" w14:textId="77777777" w:rsidR="007022FA" w:rsidRPr="007022FA" w:rsidRDefault="007022FA" w:rsidP="007022FA">
      <w:p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B cells are believed to play a role in the pathogenesis of rheumatoid arthritis (RA) and associated chronic synovitis.</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In non-Hodgkin’s lymphoma (NHL) patients, administration of rituximab resulted in depletion of circulating and tissue-based B cells.</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lastRenderedPageBreak/>
        <w:t>In Wegener's granulomatosis with polyangiitis (GPA) and microscopic polyangiitis (MPA) patients, peripheral blood CD19 B-cells depleted to less than 10 cells/µl following the first 2 infusions of rituximab and remained at that level in most (84%) patients through month 6. By month 12, the majority of patients (81%) showed signs of B-cell return with counts &gt;10 cells/µL.</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Food and Drug Administration (FDA) approved uses:</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1. NHL</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RITUXIMAB is indicated for the treatment of patients with:</w:t>
      </w:r>
    </w:p>
    <w:p w14:paraId="6356E680" w14:textId="77777777" w:rsidR="007022FA" w:rsidRPr="007022FA" w:rsidRDefault="007022FA" w:rsidP="007022FA">
      <w:pPr>
        <w:numPr>
          <w:ilvl w:val="0"/>
          <w:numId w:val="97"/>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Relapsed or refractory, low-grade or follicular, CD20-positive, B-cell NHL as a single agent.</w:t>
      </w:r>
      <w:r w:rsidRPr="007022FA">
        <w:rPr>
          <w:rFonts w:ascii="Futura" w:eastAsia="Calibri" w:hAnsi="Futura" w:cs="Calibri"/>
          <w:color w:val="000000"/>
          <w:sz w:val="20"/>
          <w:szCs w:val="20"/>
          <w:lang w:bidi="en-US"/>
        </w:rPr>
        <w:br/>
      </w:r>
    </w:p>
    <w:p w14:paraId="17D5B73C" w14:textId="77777777" w:rsidR="007022FA" w:rsidRPr="007022FA" w:rsidRDefault="007022FA" w:rsidP="007022FA">
      <w:pPr>
        <w:numPr>
          <w:ilvl w:val="0"/>
          <w:numId w:val="97"/>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Previously untreated follicular, CD20-positive, B-cell NHL in combination with first line chemotherapy and, in patients achieving a complete or partial response to Rituximab in combination with chemotherapy, as single-agent maintenance therapy.</w:t>
      </w:r>
      <w:r w:rsidRPr="007022FA">
        <w:rPr>
          <w:rFonts w:ascii="Futura" w:eastAsia="Calibri" w:hAnsi="Futura" w:cs="Calibri"/>
          <w:color w:val="000000"/>
          <w:sz w:val="20"/>
          <w:szCs w:val="20"/>
          <w:lang w:bidi="en-US"/>
        </w:rPr>
        <w:br/>
      </w:r>
    </w:p>
    <w:p w14:paraId="7CE34080" w14:textId="77777777" w:rsidR="007022FA" w:rsidRPr="007022FA" w:rsidRDefault="007022FA" w:rsidP="007022FA">
      <w:pPr>
        <w:numPr>
          <w:ilvl w:val="0"/>
          <w:numId w:val="97"/>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Non-progressing (including stable disease), low-grade, CD20-positive, B-cell NHL as a single agent after first-line cyclophosphamide, vincristine and prednisone (CVP) chemotherapy.</w:t>
      </w:r>
      <w:r w:rsidRPr="007022FA">
        <w:rPr>
          <w:rFonts w:ascii="Futura" w:eastAsia="Calibri" w:hAnsi="Futura" w:cs="Calibri"/>
          <w:color w:val="000000"/>
          <w:sz w:val="20"/>
          <w:szCs w:val="20"/>
          <w:lang w:bidi="en-US"/>
        </w:rPr>
        <w:br/>
      </w:r>
    </w:p>
    <w:p w14:paraId="352E682F" w14:textId="77777777" w:rsidR="007022FA" w:rsidRPr="007022FA" w:rsidRDefault="007022FA" w:rsidP="007022FA">
      <w:pPr>
        <w:numPr>
          <w:ilvl w:val="0"/>
          <w:numId w:val="97"/>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Previously untreated diffuse large B-cell, CD20-positive NHL in combination with cyclophosphamide, doxorubicin, vincristine, and prednisone (CHOP) or other anthracycline-based chemotherapy regimens.</w:t>
      </w:r>
    </w:p>
    <w:p w14:paraId="505FAC50" w14:textId="77777777" w:rsidR="007022FA" w:rsidRPr="007022FA" w:rsidRDefault="007022FA" w:rsidP="007022FA">
      <w:p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2. Chronic lymphocytic leukemia (CLL)</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RITUXIMAB is indicated, in combination with fludarabine and cyclophosphamide (FC), for the treatment of patients with previously untreated and previously treated CD20-positive CLL.</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3. RA</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RITUXIMAB in combination with methotrexate is indicated for the treatment of adult patients with moderately to severely active RA who have had an inadequate response to one or more tumor necrosis factor (TNF) antagonist therapies.</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4. GPA and MPA</w:t>
      </w:r>
    </w:p>
    <w:p w14:paraId="01625FB8" w14:textId="047C6D7F" w:rsidR="007022FA" w:rsidRPr="007022FA" w:rsidRDefault="007022FA" w:rsidP="007022FA">
      <w:p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RITUXIMAB in combination with glucocorticoids, is indicated for the treatment of adult patients with GPA and MPA</w:t>
      </w:r>
      <w:r w:rsidRPr="007022FA">
        <w:rPr>
          <w:rFonts w:ascii="Futura" w:eastAsia="Calibri" w:hAnsi="Futura" w:cs="Calibri"/>
          <w:color w:val="000000"/>
          <w:sz w:val="20"/>
          <w:szCs w:val="20"/>
          <w:lang w:bidi="en-US"/>
        </w:rPr>
        <w:br/>
      </w:r>
      <w:r w:rsidRPr="007022FA">
        <w:rPr>
          <w:rFonts w:ascii="Futura" w:eastAsia="Calibri" w:hAnsi="Futura" w:cs="Calibri"/>
          <w:color w:val="000000"/>
          <w:sz w:val="20"/>
          <w:szCs w:val="20"/>
          <w:lang w:bidi="en-US"/>
        </w:rPr>
        <w:br/>
        <w:t>Accepted Off-label Uses</w:t>
      </w:r>
    </w:p>
    <w:p w14:paraId="35FEC37A"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Second-line or salvage therapy with or without radiation therapy (RT) prior to autologous stem cell rescue for progressive disease or for relapsed disease in patients initially treated with chemotherapy with or without RT in combination with bendamustine</w:t>
      </w:r>
      <w:r w:rsidRPr="007022FA">
        <w:rPr>
          <w:rFonts w:ascii="Futura" w:eastAsia="Calibri" w:hAnsi="Futura" w:cs="Calibri"/>
          <w:color w:val="000000"/>
          <w:sz w:val="20"/>
          <w:szCs w:val="20"/>
          <w:lang w:bidi="en-US"/>
        </w:rPr>
        <w:br/>
      </w:r>
    </w:p>
    <w:p w14:paraId="099DEA8E"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Low grade or follicular CD20-positive, B-cell NHL (re-induction treatment appropriate for responders and patients with stable disease)</w:t>
      </w:r>
      <w:r w:rsidRPr="007022FA">
        <w:rPr>
          <w:rFonts w:ascii="Futura" w:eastAsia="Calibri" w:hAnsi="Futura" w:cs="Calibri"/>
          <w:color w:val="000000"/>
          <w:sz w:val="20"/>
          <w:szCs w:val="20"/>
          <w:lang w:bidi="en-US"/>
        </w:rPr>
        <w:br/>
      </w:r>
    </w:p>
    <w:p w14:paraId="0A3BF041"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Intermediate and high-grade NHL when used as a single agent, in combination with a CHOP chemotherapy regimen, or in combination with other agents active in the disease</w:t>
      </w:r>
      <w:r w:rsidRPr="007022FA">
        <w:rPr>
          <w:rFonts w:ascii="Futura" w:eastAsia="Calibri" w:hAnsi="Futura" w:cs="Calibri"/>
          <w:color w:val="000000"/>
          <w:sz w:val="20"/>
          <w:szCs w:val="20"/>
          <w:lang w:bidi="en-US"/>
        </w:rPr>
        <w:br/>
      </w:r>
    </w:p>
    <w:p w14:paraId="387C969A"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Immune or idiopathic thrombocytopenia purpura</w:t>
      </w:r>
      <w:r w:rsidRPr="007022FA">
        <w:rPr>
          <w:rFonts w:ascii="Futura" w:eastAsia="Calibri" w:hAnsi="Futura" w:cs="Calibri"/>
          <w:color w:val="000000"/>
          <w:sz w:val="20"/>
          <w:szCs w:val="20"/>
          <w:lang w:bidi="en-US"/>
        </w:rPr>
        <w:br/>
      </w:r>
    </w:p>
    <w:p w14:paraId="1EAA5323"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Evans’ syndrome</w:t>
      </w:r>
      <w:r w:rsidRPr="007022FA">
        <w:rPr>
          <w:rFonts w:ascii="Futura" w:eastAsia="Calibri" w:hAnsi="Futura" w:cs="Calibri"/>
          <w:color w:val="000000"/>
          <w:sz w:val="20"/>
          <w:szCs w:val="20"/>
          <w:lang w:bidi="en-US"/>
        </w:rPr>
        <w:br/>
      </w:r>
    </w:p>
    <w:p w14:paraId="07441A3E"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lastRenderedPageBreak/>
        <w:t>Waldenstrom’s macroglobulinemia</w:t>
      </w:r>
      <w:r w:rsidRPr="007022FA">
        <w:rPr>
          <w:rFonts w:ascii="Futura" w:eastAsia="Calibri" w:hAnsi="Futura" w:cs="Calibri"/>
          <w:color w:val="000000"/>
          <w:sz w:val="20"/>
          <w:szCs w:val="20"/>
          <w:lang w:bidi="en-US"/>
        </w:rPr>
        <w:br/>
      </w:r>
    </w:p>
    <w:p w14:paraId="5AAF7CA9"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For the treatment of refractory thrombotic thrombocytopenic purpura (TTP) for patients who do not respond to plasmapheresis</w:t>
      </w:r>
      <w:r w:rsidRPr="007022FA">
        <w:rPr>
          <w:rFonts w:ascii="Futura" w:eastAsia="Calibri" w:hAnsi="Futura" w:cs="Calibri"/>
          <w:color w:val="000000"/>
          <w:sz w:val="20"/>
          <w:szCs w:val="20"/>
          <w:lang w:bidi="en-US"/>
        </w:rPr>
        <w:br/>
      </w:r>
    </w:p>
    <w:p w14:paraId="194E4BD2"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Autoimmune hemolytic anemia - rituximab is covered for those patients with autoimmune hemolytic anemia condition that is refractory to conventional treatment (e.g., corticosteroid treatment and splenectomy)</w:t>
      </w:r>
      <w:r w:rsidRPr="007022FA">
        <w:rPr>
          <w:rFonts w:ascii="Futura" w:eastAsia="Calibri" w:hAnsi="Futura" w:cs="Calibri"/>
          <w:color w:val="000000"/>
          <w:sz w:val="20"/>
          <w:szCs w:val="20"/>
          <w:lang w:bidi="en-US"/>
        </w:rPr>
        <w:br/>
      </w:r>
    </w:p>
    <w:p w14:paraId="6BBF6465"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Multifocal motor neuropathy (MMN) as a second line therapy</w:t>
      </w:r>
      <w:r w:rsidRPr="007022FA">
        <w:rPr>
          <w:rFonts w:ascii="Futura" w:eastAsia="Calibri" w:hAnsi="Futura" w:cs="Calibri"/>
          <w:color w:val="000000"/>
          <w:sz w:val="20"/>
          <w:szCs w:val="20"/>
          <w:lang w:bidi="en-US"/>
        </w:rPr>
        <w:br/>
      </w:r>
    </w:p>
    <w:p w14:paraId="287B5DDF"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Multiple sclerosis, relapsing, remitting (RRMS) as a third line therapy</w:t>
      </w:r>
      <w:r w:rsidRPr="007022FA">
        <w:rPr>
          <w:rFonts w:ascii="Futura" w:eastAsia="Calibri" w:hAnsi="Futura" w:cs="Calibri"/>
          <w:color w:val="000000"/>
          <w:sz w:val="20"/>
          <w:szCs w:val="20"/>
          <w:lang w:bidi="en-US"/>
        </w:rPr>
        <w:br/>
      </w:r>
    </w:p>
    <w:p w14:paraId="1FCCEC23"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Neuromyelitis optica</w:t>
      </w:r>
      <w:r w:rsidRPr="007022FA">
        <w:rPr>
          <w:rFonts w:ascii="Futura" w:eastAsia="Calibri" w:hAnsi="Futura" w:cs="Calibri"/>
          <w:color w:val="000000"/>
          <w:sz w:val="20"/>
          <w:szCs w:val="20"/>
          <w:lang w:bidi="en-US"/>
        </w:rPr>
        <w:br/>
      </w:r>
    </w:p>
    <w:p w14:paraId="138BB011" w14:textId="3F5E3DA3"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 xml:space="preserve">Polymyositis as a </w:t>
      </w:r>
      <w:r w:rsidR="000E3CFD" w:rsidRPr="007022FA">
        <w:rPr>
          <w:rFonts w:ascii="Futura" w:eastAsia="Calibri" w:hAnsi="Futura" w:cs="Calibri"/>
          <w:color w:val="000000"/>
          <w:sz w:val="20"/>
          <w:szCs w:val="20"/>
          <w:lang w:bidi="en-US"/>
        </w:rPr>
        <w:t>second- or third-line</w:t>
      </w:r>
      <w:r w:rsidRPr="007022FA">
        <w:rPr>
          <w:rFonts w:ascii="Futura" w:eastAsia="Calibri" w:hAnsi="Futura" w:cs="Calibri"/>
          <w:color w:val="000000"/>
          <w:sz w:val="20"/>
          <w:szCs w:val="20"/>
          <w:lang w:bidi="en-US"/>
        </w:rPr>
        <w:t xml:space="preserve"> therapy</w:t>
      </w:r>
      <w:r w:rsidRPr="007022FA">
        <w:rPr>
          <w:rFonts w:ascii="Futura" w:eastAsia="Calibri" w:hAnsi="Futura" w:cs="Calibri"/>
          <w:color w:val="000000"/>
          <w:sz w:val="20"/>
          <w:szCs w:val="20"/>
          <w:lang w:bidi="en-US"/>
        </w:rPr>
        <w:br/>
      </w:r>
    </w:p>
    <w:p w14:paraId="70EE3C3D"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Myasthenia gravis</w:t>
      </w:r>
      <w:r w:rsidRPr="007022FA">
        <w:rPr>
          <w:rFonts w:ascii="Futura" w:eastAsia="Calibri" w:hAnsi="Futura" w:cs="Calibri"/>
          <w:color w:val="000000"/>
          <w:sz w:val="20"/>
          <w:szCs w:val="20"/>
          <w:lang w:bidi="en-US"/>
        </w:rPr>
        <w:br/>
      </w:r>
    </w:p>
    <w:p w14:paraId="7E89D59C"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Anti-myelin associated glycoprotein (anti-MAG) polyneuropathy</w:t>
      </w:r>
      <w:r w:rsidRPr="007022FA">
        <w:rPr>
          <w:rFonts w:ascii="Futura" w:eastAsia="Calibri" w:hAnsi="Futura" w:cs="Calibri"/>
          <w:color w:val="000000"/>
          <w:sz w:val="20"/>
          <w:szCs w:val="20"/>
          <w:lang w:bidi="en-US"/>
        </w:rPr>
        <w:br/>
      </w:r>
    </w:p>
    <w:p w14:paraId="08D4BFC8"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Graft-Versus-Host Disease (GVHD) as third line of therapy or greater</w:t>
      </w:r>
      <w:r w:rsidRPr="007022FA">
        <w:rPr>
          <w:rFonts w:ascii="Futura" w:eastAsia="Calibri" w:hAnsi="Futura" w:cs="Calibri"/>
          <w:color w:val="000000"/>
          <w:sz w:val="20"/>
          <w:szCs w:val="20"/>
          <w:lang w:bidi="en-US"/>
        </w:rPr>
        <w:br/>
      </w:r>
    </w:p>
    <w:p w14:paraId="64CE03BE"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Antineutrophil cytoplasmic antibody (ANCA) associated vasculitis</w:t>
      </w:r>
      <w:r w:rsidRPr="007022FA">
        <w:rPr>
          <w:rFonts w:ascii="Futura" w:eastAsia="Calibri" w:hAnsi="Futura" w:cs="Calibri"/>
          <w:color w:val="000000"/>
          <w:sz w:val="20"/>
          <w:szCs w:val="20"/>
          <w:lang w:bidi="en-US"/>
        </w:rPr>
        <w:br/>
      </w:r>
    </w:p>
    <w:p w14:paraId="4E7270AE"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RITUXIMAB has been shown to be an effective therapy for cryoglobulinemia and cryoglobulinemia induced renal disease with less complications than the standard therapy with cyclophosphamide and plasmapheresis</w:t>
      </w:r>
    </w:p>
    <w:p w14:paraId="1759A931"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Post-transplant lymphoproliferative disorder (PTLD) </w:t>
      </w:r>
    </w:p>
    <w:p w14:paraId="65BC7871"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Epstein-Barr viremia (EBV) in patients at high risk for PTLD</w:t>
      </w:r>
    </w:p>
    <w:p w14:paraId="0A65775F" w14:textId="77777777" w:rsidR="007022FA" w:rsidRPr="007022FA" w:rsidRDefault="007022FA" w:rsidP="007022FA">
      <w:pPr>
        <w:numPr>
          <w:ilvl w:val="1"/>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allogenic bone marrow transplant patients with prolonged T-cell immune impairment</w:t>
      </w:r>
    </w:p>
    <w:p w14:paraId="71A135B3" w14:textId="77777777" w:rsidR="007022FA" w:rsidRPr="007022FA" w:rsidRDefault="007022FA" w:rsidP="007022FA">
      <w:pPr>
        <w:numPr>
          <w:ilvl w:val="2"/>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such as those receiving cord blood units or ex vivo CD34 selected or T-cell-depleted hematopoietic cell grafts, or</w:t>
      </w:r>
    </w:p>
    <w:p w14:paraId="50960B16" w14:textId="77777777" w:rsidR="007022FA" w:rsidRPr="007022FA" w:rsidRDefault="007022FA" w:rsidP="007022FA">
      <w:pPr>
        <w:numPr>
          <w:ilvl w:val="2"/>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patients receiving antibodies against T-cells (alemtuzumab), or</w:t>
      </w:r>
    </w:p>
    <w:p w14:paraId="27343CF6" w14:textId="77777777" w:rsidR="007022FA" w:rsidRPr="007022FA" w:rsidRDefault="007022FA" w:rsidP="007022FA">
      <w:pPr>
        <w:numPr>
          <w:ilvl w:val="2"/>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patients receiving high dose steroids for treatment of severe acute GVHD.</w:t>
      </w:r>
    </w:p>
    <w:p w14:paraId="1A136769" w14:textId="77777777" w:rsidR="007022FA" w:rsidRPr="007022FA" w:rsidRDefault="007022FA" w:rsidP="007022FA">
      <w:pPr>
        <w:numPr>
          <w:ilvl w:val="0"/>
          <w:numId w:val="98"/>
        </w:numPr>
        <w:spacing w:after="0" w:line="240" w:lineRule="auto"/>
        <w:rPr>
          <w:rFonts w:ascii="Futura" w:eastAsia="Calibri" w:hAnsi="Futura" w:cs="Calibri"/>
          <w:color w:val="000000"/>
          <w:sz w:val="20"/>
          <w:szCs w:val="20"/>
          <w:lang w:bidi="en-US"/>
        </w:rPr>
      </w:pPr>
      <w:r w:rsidRPr="007022FA">
        <w:rPr>
          <w:rFonts w:ascii="Futura" w:eastAsia="Calibri" w:hAnsi="Futura" w:cs="Calibri"/>
          <w:color w:val="000000"/>
          <w:sz w:val="20"/>
          <w:szCs w:val="20"/>
          <w:lang w:bidi="en-US"/>
        </w:rPr>
        <w:t>Autoimmune encephalitis in bone marrow transplant patients</w:t>
      </w:r>
    </w:p>
    <w:p w14:paraId="3521C6FD" w14:textId="77777777" w:rsidR="00143748" w:rsidRDefault="00143748" w:rsidP="009F51BE">
      <w:pPr>
        <w:spacing w:after="0" w:line="240" w:lineRule="auto"/>
        <w:rPr>
          <w:rFonts w:ascii="Futura" w:eastAsia="Calibri" w:hAnsi="Futura" w:cs="Calibri"/>
          <w:color w:val="000000"/>
          <w:sz w:val="20"/>
          <w:szCs w:val="20"/>
          <w:lang w:bidi="en-US"/>
        </w:rPr>
      </w:pPr>
    </w:p>
    <w:p w14:paraId="172D9D13" w14:textId="77777777" w:rsidR="007022FA" w:rsidRDefault="007022FA" w:rsidP="009F51BE">
      <w:pPr>
        <w:spacing w:after="0" w:line="240" w:lineRule="auto"/>
        <w:rPr>
          <w:rFonts w:ascii="Futura" w:eastAsia="Calibri" w:hAnsi="Futura" w:cs="Calibri"/>
          <w:color w:val="000000"/>
          <w:sz w:val="20"/>
          <w:szCs w:val="20"/>
          <w:lang w:bidi="en-US"/>
        </w:rPr>
      </w:pPr>
    </w:p>
    <w:p w14:paraId="2ED2793B" w14:textId="2919B873" w:rsidR="00320403" w:rsidRDefault="00DC1B0C" w:rsidP="00320403">
      <w:pPr>
        <w:spacing w:after="0" w:line="240" w:lineRule="auto"/>
        <w:rPr>
          <w:rFonts w:ascii="Futura" w:hAnsi="Futura"/>
          <w:b/>
          <w:bCs/>
          <w:color w:val="00AEDB"/>
          <w:sz w:val="24"/>
          <w:szCs w:val="24"/>
        </w:rPr>
      </w:pPr>
      <w:r>
        <w:rPr>
          <w:rFonts w:ascii="Futura" w:hAnsi="Futura"/>
          <w:b/>
          <w:bCs/>
          <w:color w:val="00AEDB"/>
          <w:sz w:val="24"/>
          <w:szCs w:val="24"/>
        </w:rPr>
        <w:t>Duration</w:t>
      </w:r>
      <w:r w:rsidR="009C2524">
        <w:rPr>
          <w:rFonts w:ascii="Futura" w:hAnsi="Futura"/>
          <w:b/>
          <w:bCs/>
          <w:color w:val="00AEDB"/>
          <w:sz w:val="24"/>
          <w:szCs w:val="24"/>
        </w:rPr>
        <w:t xml:space="preserve"> of approval</w:t>
      </w:r>
      <w:r w:rsidR="00320403">
        <w:rPr>
          <w:rFonts w:ascii="Futura" w:hAnsi="Futura"/>
          <w:b/>
          <w:bCs/>
          <w:color w:val="00AEDB"/>
          <w:sz w:val="24"/>
          <w:szCs w:val="24"/>
        </w:rPr>
        <w:t>:</w:t>
      </w:r>
    </w:p>
    <w:p w14:paraId="5B8192B7" w14:textId="77777777" w:rsidR="00320403" w:rsidRDefault="00320403" w:rsidP="00320403">
      <w:pPr>
        <w:spacing w:after="0" w:line="240" w:lineRule="auto"/>
        <w:rPr>
          <w:rFonts w:ascii="Futura" w:eastAsia="Calibri" w:hAnsi="Futura" w:cs="Calibri"/>
          <w:b/>
          <w:bCs/>
          <w:color w:val="000000"/>
          <w:sz w:val="20"/>
          <w:szCs w:val="20"/>
          <w:lang w:bidi="en-US"/>
        </w:rPr>
      </w:pPr>
    </w:p>
    <w:p w14:paraId="08068DBB" w14:textId="6B28279F" w:rsidR="00542D9D" w:rsidRPr="00C96407" w:rsidRDefault="009C2524" w:rsidP="00320403">
      <w:pPr>
        <w:spacing w:after="0" w:line="240" w:lineRule="auto"/>
        <w:rPr>
          <w:rFonts w:ascii="Futura" w:hAnsi="Futura"/>
          <w:sz w:val="24"/>
          <w:szCs w:val="24"/>
        </w:rPr>
      </w:pPr>
      <w:r w:rsidRPr="00C96407">
        <w:rPr>
          <w:rFonts w:ascii="Futura" w:hAnsi="Futura"/>
          <w:b/>
          <w:bCs/>
          <w:sz w:val="24"/>
          <w:szCs w:val="24"/>
        </w:rPr>
        <w:t>I</w:t>
      </w:r>
      <w:r w:rsidR="00DC1B0C" w:rsidRPr="00C96407">
        <w:rPr>
          <w:rFonts w:ascii="Futura" w:hAnsi="Futura"/>
          <w:b/>
          <w:bCs/>
          <w:sz w:val="24"/>
          <w:szCs w:val="24"/>
        </w:rPr>
        <w:t>nitial authorization</w:t>
      </w:r>
      <w:r w:rsidR="00DC1B0C" w:rsidRPr="00C96407">
        <w:rPr>
          <w:rFonts w:ascii="Futura" w:hAnsi="Futura"/>
          <w:sz w:val="24"/>
          <w:szCs w:val="24"/>
        </w:rPr>
        <w:t xml:space="preserve">: Length requested, </w:t>
      </w:r>
      <w:r w:rsidR="00B8376A" w:rsidRPr="00C96407">
        <w:rPr>
          <w:rFonts w:ascii="Futura" w:hAnsi="Futura"/>
          <w:sz w:val="24"/>
          <w:szCs w:val="24"/>
        </w:rPr>
        <w:t>length specified in the indication above (if applicable), or 12 months, whichever is shortest</w:t>
      </w:r>
    </w:p>
    <w:p w14:paraId="4C701B58" w14:textId="77777777" w:rsidR="00B8376A" w:rsidRPr="00C96407" w:rsidRDefault="00B8376A" w:rsidP="00320403">
      <w:pPr>
        <w:spacing w:after="0" w:line="240" w:lineRule="auto"/>
        <w:rPr>
          <w:rFonts w:ascii="Futura" w:hAnsi="Futura"/>
          <w:sz w:val="24"/>
          <w:szCs w:val="24"/>
        </w:rPr>
      </w:pPr>
    </w:p>
    <w:p w14:paraId="40EDAC36" w14:textId="5163999F" w:rsidR="00B8376A" w:rsidRPr="00C96407" w:rsidRDefault="00B8376A" w:rsidP="00320403">
      <w:pPr>
        <w:spacing w:after="0" w:line="240" w:lineRule="auto"/>
        <w:rPr>
          <w:rFonts w:ascii="Futura" w:hAnsi="Futura"/>
          <w:sz w:val="24"/>
          <w:szCs w:val="24"/>
        </w:rPr>
      </w:pPr>
      <w:r w:rsidRPr="00C96407">
        <w:rPr>
          <w:rFonts w:ascii="Futura" w:hAnsi="Futura"/>
          <w:b/>
          <w:bCs/>
          <w:sz w:val="24"/>
          <w:szCs w:val="24"/>
        </w:rPr>
        <w:t>Reauthorization</w:t>
      </w:r>
      <w:r w:rsidRPr="00C96407">
        <w:rPr>
          <w:rFonts w:ascii="Futura" w:hAnsi="Futura"/>
          <w:sz w:val="24"/>
          <w:szCs w:val="24"/>
        </w:rPr>
        <w:t xml:space="preserve">: </w:t>
      </w:r>
      <w:r w:rsidR="00C96407" w:rsidRPr="00C96407">
        <w:rPr>
          <w:rFonts w:ascii="Futura" w:hAnsi="Futura"/>
          <w:sz w:val="24"/>
          <w:szCs w:val="24"/>
        </w:rPr>
        <w:t>Length requested, length specified in the indication above (if applicable), or 12 months, whichever is shortest</w:t>
      </w:r>
    </w:p>
    <w:p w14:paraId="0323F364" w14:textId="77777777" w:rsidR="00C96407" w:rsidRDefault="00C96407" w:rsidP="00320403">
      <w:pPr>
        <w:spacing w:after="0" w:line="240" w:lineRule="auto"/>
        <w:rPr>
          <w:rFonts w:ascii="Futura" w:hAnsi="Futura"/>
          <w:b/>
          <w:bCs/>
          <w:color w:val="00AEDB"/>
          <w:sz w:val="24"/>
          <w:szCs w:val="24"/>
        </w:rPr>
      </w:pPr>
    </w:p>
    <w:p w14:paraId="6080660B" w14:textId="062258A2" w:rsidR="00320403" w:rsidRDefault="00CD2097" w:rsidP="00320403">
      <w:pPr>
        <w:spacing w:after="0" w:line="240" w:lineRule="auto"/>
        <w:rPr>
          <w:rFonts w:ascii="Futura" w:hAnsi="Futura"/>
          <w:b/>
          <w:bCs/>
          <w:color w:val="00AEDB"/>
          <w:sz w:val="24"/>
          <w:szCs w:val="24"/>
        </w:rPr>
      </w:pPr>
      <w:r>
        <w:rPr>
          <w:rFonts w:ascii="Futura" w:hAnsi="Futura"/>
          <w:b/>
          <w:bCs/>
          <w:color w:val="00AEDB"/>
          <w:sz w:val="24"/>
          <w:szCs w:val="24"/>
        </w:rPr>
        <w:t>Exception Criteria</w:t>
      </w:r>
      <w:r w:rsidR="00320403">
        <w:rPr>
          <w:rFonts w:ascii="Futura" w:hAnsi="Futura"/>
          <w:b/>
          <w:bCs/>
          <w:color w:val="00AEDB"/>
          <w:sz w:val="24"/>
          <w:szCs w:val="24"/>
        </w:rPr>
        <w:t>:</w:t>
      </w:r>
    </w:p>
    <w:p w14:paraId="58F1F639" w14:textId="77777777" w:rsidR="00C3149B" w:rsidRDefault="00C3149B" w:rsidP="00320403">
      <w:pPr>
        <w:spacing w:after="0" w:line="240" w:lineRule="auto"/>
        <w:rPr>
          <w:rFonts w:ascii="Futura" w:hAnsi="Futura"/>
          <w:b/>
          <w:bCs/>
          <w:color w:val="00AEDB"/>
          <w:sz w:val="24"/>
          <w:szCs w:val="24"/>
        </w:rPr>
      </w:pPr>
    </w:p>
    <w:p w14:paraId="11702901" w14:textId="0DC5A27F" w:rsidR="005C3DC3" w:rsidRDefault="00F95A1F" w:rsidP="006A4B3F">
      <w:pPr>
        <w:pStyle w:val="ListParagraph"/>
        <w:numPr>
          <w:ilvl w:val="0"/>
          <w:numId w:val="3"/>
        </w:numPr>
        <w:spacing w:after="0" w:line="240" w:lineRule="auto"/>
        <w:rPr>
          <w:rFonts w:ascii="Futura" w:hAnsi="Futura"/>
          <w:sz w:val="24"/>
          <w:szCs w:val="24"/>
        </w:rPr>
      </w:pPr>
      <w:r>
        <w:rPr>
          <w:rFonts w:ascii="Futura" w:hAnsi="Futura"/>
          <w:sz w:val="24"/>
          <w:szCs w:val="24"/>
        </w:rPr>
        <w:t>Exception</w:t>
      </w:r>
      <w:r w:rsidR="00705F98">
        <w:rPr>
          <w:rFonts w:ascii="Futura" w:hAnsi="Futura"/>
          <w:sz w:val="24"/>
          <w:szCs w:val="24"/>
        </w:rPr>
        <w:t xml:space="preserve">s may need to be reviewed on multiple levels depending on the agent requested: </w:t>
      </w:r>
      <w:r w:rsidR="006C2777">
        <w:rPr>
          <w:rFonts w:ascii="Futura" w:hAnsi="Futura"/>
          <w:sz w:val="24"/>
          <w:szCs w:val="24"/>
        </w:rPr>
        <w:t xml:space="preserve">documentation of inadequate response, contraindication, adverse event or otherwise must be demonstrated for a </w:t>
      </w:r>
      <w:r w:rsidR="00997735">
        <w:rPr>
          <w:rFonts w:ascii="Futura" w:hAnsi="Futura"/>
          <w:sz w:val="24"/>
          <w:szCs w:val="24"/>
        </w:rPr>
        <w:lastRenderedPageBreak/>
        <w:t>preferred</w:t>
      </w:r>
      <w:r w:rsidR="006C2777">
        <w:rPr>
          <w:rFonts w:ascii="Futura" w:hAnsi="Futura"/>
          <w:sz w:val="24"/>
          <w:szCs w:val="24"/>
        </w:rPr>
        <w:t xml:space="preserve"> agent if request</w:t>
      </w:r>
      <w:r w:rsidR="00997735">
        <w:rPr>
          <w:rFonts w:ascii="Futura" w:hAnsi="Futura"/>
          <w:sz w:val="24"/>
          <w:szCs w:val="24"/>
        </w:rPr>
        <w:t xml:space="preserve">ing a secondary agent, and for </w:t>
      </w:r>
      <w:r w:rsidR="00AB6317">
        <w:rPr>
          <w:rFonts w:ascii="Futura" w:hAnsi="Futura"/>
          <w:sz w:val="24"/>
          <w:szCs w:val="24"/>
        </w:rPr>
        <w:t>preferred</w:t>
      </w:r>
      <w:r w:rsidR="00997735">
        <w:rPr>
          <w:rFonts w:ascii="Futura" w:hAnsi="Futura"/>
          <w:sz w:val="24"/>
          <w:szCs w:val="24"/>
        </w:rPr>
        <w:t xml:space="preserve"> and second</w:t>
      </w:r>
      <w:r w:rsidR="00AB6317">
        <w:rPr>
          <w:rFonts w:ascii="Futura" w:hAnsi="Futura"/>
          <w:sz w:val="24"/>
          <w:szCs w:val="24"/>
        </w:rPr>
        <w:t>ary agents if requesting a tertiary agent.</w:t>
      </w:r>
    </w:p>
    <w:p w14:paraId="6111E178" w14:textId="700C83AD" w:rsidR="0072503A" w:rsidRDefault="00002541" w:rsidP="006A4B3F">
      <w:pPr>
        <w:pStyle w:val="ListParagraph"/>
        <w:numPr>
          <w:ilvl w:val="0"/>
          <w:numId w:val="3"/>
        </w:numPr>
        <w:spacing w:after="0" w:line="240" w:lineRule="auto"/>
        <w:rPr>
          <w:rFonts w:ascii="Futura" w:hAnsi="Futura"/>
          <w:sz w:val="24"/>
          <w:szCs w:val="24"/>
        </w:rPr>
      </w:pPr>
      <w:r>
        <w:rPr>
          <w:rFonts w:ascii="Futura" w:hAnsi="Futura"/>
          <w:sz w:val="24"/>
          <w:szCs w:val="24"/>
        </w:rPr>
        <w:t xml:space="preserve">Coverage for a secondary or tertiary agent will be considered if </w:t>
      </w:r>
      <w:r w:rsidR="00EF0772">
        <w:rPr>
          <w:rFonts w:ascii="Futura" w:hAnsi="Futura"/>
          <w:sz w:val="24"/>
          <w:szCs w:val="24"/>
        </w:rPr>
        <w:t xml:space="preserve">there is documentation of a continuation of therapy </w:t>
      </w:r>
      <w:r w:rsidR="0072503A">
        <w:rPr>
          <w:rFonts w:ascii="Futura" w:hAnsi="Futura"/>
          <w:sz w:val="24"/>
          <w:szCs w:val="24"/>
        </w:rPr>
        <w:t xml:space="preserve">within the past </w:t>
      </w:r>
      <w:r w:rsidR="00E82A34">
        <w:rPr>
          <w:rFonts w:ascii="Futura" w:hAnsi="Futura"/>
          <w:sz w:val="24"/>
          <w:szCs w:val="24"/>
        </w:rPr>
        <w:t>365</w:t>
      </w:r>
      <w:r w:rsidR="0072503A">
        <w:rPr>
          <w:rFonts w:ascii="Futura" w:hAnsi="Futura"/>
          <w:sz w:val="24"/>
          <w:szCs w:val="24"/>
        </w:rPr>
        <w:t xml:space="preserve"> days (if new) or if it is a reauthorization request.</w:t>
      </w:r>
    </w:p>
    <w:p w14:paraId="2CB2D8D3" w14:textId="22FBCA12" w:rsidR="00856D17" w:rsidRPr="00856D17" w:rsidRDefault="00856D17" w:rsidP="006A4B3F">
      <w:pPr>
        <w:pStyle w:val="ListParagraph"/>
        <w:numPr>
          <w:ilvl w:val="0"/>
          <w:numId w:val="3"/>
        </w:numPr>
        <w:spacing w:after="0" w:line="240" w:lineRule="auto"/>
        <w:rPr>
          <w:rFonts w:ascii="Futura" w:hAnsi="Futura"/>
          <w:sz w:val="24"/>
          <w:szCs w:val="24"/>
        </w:rPr>
      </w:pPr>
      <w:r>
        <w:rPr>
          <w:rFonts w:ascii="Futura" w:hAnsi="Futura"/>
          <w:sz w:val="24"/>
          <w:szCs w:val="24"/>
        </w:rPr>
        <w:t xml:space="preserve">In either of the above situations, the product </w:t>
      </w:r>
      <w:r w:rsidR="009A5611">
        <w:rPr>
          <w:rFonts w:ascii="Futura" w:hAnsi="Futura"/>
          <w:sz w:val="24"/>
          <w:szCs w:val="24"/>
        </w:rPr>
        <w:t xml:space="preserve">being used cannot be based on </w:t>
      </w:r>
      <w:r w:rsidR="009A7E8B">
        <w:rPr>
          <w:rFonts w:ascii="Futura" w:hAnsi="Futura"/>
          <w:sz w:val="24"/>
          <w:szCs w:val="24"/>
        </w:rPr>
        <w:t>the use</w:t>
      </w:r>
      <w:r w:rsidR="009A5611">
        <w:rPr>
          <w:rFonts w:ascii="Futura" w:hAnsi="Futura"/>
          <w:sz w:val="24"/>
          <w:szCs w:val="24"/>
        </w:rPr>
        <w:t xml:space="preserve"> of samples or products provided through manufacturer patient assistance programs.</w:t>
      </w:r>
    </w:p>
    <w:p w14:paraId="55CF9D8D" w14:textId="77777777" w:rsidR="00CD2097" w:rsidRDefault="00CD2097" w:rsidP="00320403">
      <w:pPr>
        <w:spacing w:after="0" w:line="240" w:lineRule="auto"/>
        <w:rPr>
          <w:rFonts w:ascii="Futura" w:hAnsi="Futura"/>
          <w:b/>
          <w:bCs/>
          <w:color w:val="00AEDB"/>
          <w:sz w:val="24"/>
          <w:szCs w:val="24"/>
        </w:rPr>
      </w:pPr>
    </w:p>
    <w:p w14:paraId="4577D0A3" w14:textId="0559CE6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 xml:space="preserve">Reference(s): </w:t>
      </w:r>
    </w:p>
    <w:p w14:paraId="208BE092" w14:textId="77777777" w:rsidR="00320403" w:rsidRDefault="00320403" w:rsidP="00320403">
      <w:pPr>
        <w:spacing w:after="0" w:line="240" w:lineRule="auto"/>
        <w:rPr>
          <w:rFonts w:ascii="Futura" w:hAnsi="Futura"/>
          <w:b/>
          <w:bCs/>
          <w:color w:val="00AEDB"/>
          <w:sz w:val="24"/>
          <w:szCs w:val="24"/>
        </w:rPr>
      </w:pPr>
    </w:p>
    <w:p w14:paraId="634AEFD0" w14:textId="6630F548" w:rsidR="00B04537" w:rsidRPr="00B04537" w:rsidRDefault="00B04537" w:rsidP="00174A69">
      <w:pPr>
        <w:pStyle w:val="ListParagraph"/>
        <w:numPr>
          <w:ilvl w:val="0"/>
          <w:numId w:val="1"/>
        </w:numPr>
        <w:spacing w:after="0" w:line="240" w:lineRule="auto"/>
        <w:rPr>
          <w:rFonts w:ascii="Futura" w:eastAsia="Calibri" w:hAnsi="Futura" w:cs="Calibri"/>
          <w:b/>
          <w:bCs/>
          <w:color w:val="000000"/>
          <w:sz w:val="20"/>
          <w:szCs w:val="20"/>
          <w:lang w:bidi="en-US"/>
        </w:rPr>
      </w:pPr>
      <w:r w:rsidRPr="00B04537">
        <w:rPr>
          <w:rFonts w:ascii="Futura" w:eastAsia="Calibri" w:hAnsi="Futura" w:cs="Calibri"/>
          <w:color w:val="000000"/>
          <w:sz w:val="20"/>
          <w:szCs w:val="20"/>
          <w:lang w:bidi="en-US"/>
        </w:rPr>
        <w:t xml:space="preserve">"Rituximab." </w:t>
      </w:r>
      <w:r w:rsidRPr="00B04537">
        <w:rPr>
          <w:rFonts w:ascii="Futura" w:eastAsia="Calibri" w:hAnsi="Futura" w:cs="Calibri"/>
          <w:i/>
          <w:iCs/>
          <w:color w:val="000000"/>
          <w:sz w:val="20"/>
          <w:szCs w:val="20"/>
          <w:lang w:bidi="en-US"/>
        </w:rPr>
        <w:t>Medicare Coverage Database</w:t>
      </w:r>
      <w:r w:rsidRPr="00B04537">
        <w:rPr>
          <w:rFonts w:ascii="Futura" w:eastAsia="Calibri" w:hAnsi="Futura" w:cs="Calibri"/>
          <w:color w:val="000000"/>
          <w:sz w:val="20"/>
          <w:szCs w:val="20"/>
          <w:lang w:bidi="en-US"/>
        </w:rPr>
        <w:t xml:space="preserve">, </w:t>
      </w:r>
      <w:r w:rsidR="00F55284">
        <w:rPr>
          <w:rFonts w:ascii="Futura" w:eastAsia="Calibri" w:hAnsi="Futura" w:cs="Calibri"/>
          <w:color w:val="000000"/>
          <w:sz w:val="20"/>
          <w:szCs w:val="20"/>
          <w:lang w:bidi="en-US"/>
        </w:rPr>
        <w:t>1</w:t>
      </w:r>
      <w:r w:rsidRPr="00B04537">
        <w:rPr>
          <w:rFonts w:ascii="Futura" w:eastAsia="Calibri" w:hAnsi="Futura" w:cs="Calibri"/>
          <w:color w:val="000000"/>
          <w:sz w:val="20"/>
          <w:szCs w:val="20"/>
          <w:lang w:bidi="en-US"/>
        </w:rPr>
        <w:t xml:space="preserve"> </w:t>
      </w:r>
      <w:r w:rsidR="00F55284">
        <w:rPr>
          <w:rFonts w:ascii="Futura" w:eastAsia="Calibri" w:hAnsi="Futura" w:cs="Calibri"/>
          <w:color w:val="000000"/>
          <w:sz w:val="20"/>
          <w:szCs w:val="20"/>
          <w:lang w:bidi="en-US"/>
        </w:rPr>
        <w:t>Oct</w:t>
      </w:r>
      <w:r w:rsidRPr="00B04537">
        <w:rPr>
          <w:rFonts w:ascii="Futura" w:eastAsia="Calibri" w:hAnsi="Futura" w:cs="Calibri"/>
          <w:color w:val="000000"/>
          <w:sz w:val="20"/>
          <w:szCs w:val="20"/>
          <w:lang w:bidi="en-US"/>
        </w:rPr>
        <w:t>. 20</w:t>
      </w:r>
      <w:r w:rsidR="00F55284">
        <w:rPr>
          <w:rFonts w:ascii="Futura" w:eastAsia="Calibri" w:hAnsi="Futura" w:cs="Calibri"/>
          <w:color w:val="000000"/>
          <w:sz w:val="20"/>
          <w:szCs w:val="20"/>
          <w:lang w:bidi="en-US"/>
        </w:rPr>
        <w:t>15</w:t>
      </w:r>
      <w:r w:rsidRPr="00B04537">
        <w:rPr>
          <w:rFonts w:ascii="Futura" w:eastAsia="Calibri" w:hAnsi="Futura" w:cs="Calibri"/>
          <w:color w:val="000000"/>
          <w:sz w:val="20"/>
          <w:szCs w:val="20"/>
          <w:lang w:bidi="en-US"/>
        </w:rPr>
        <w:t xml:space="preserve">, </w:t>
      </w:r>
      <w:hyperlink r:id="rId10" w:history="1">
        <w:r w:rsidRPr="00B04537">
          <w:rPr>
            <w:rStyle w:val="Hyperlink"/>
            <w:rFonts w:ascii="Futura" w:eastAsia="Calibri" w:hAnsi="Futura" w:cs="Calibri"/>
            <w:sz w:val="20"/>
            <w:szCs w:val="20"/>
            <w:lang w:bidi="en-US"/>
          </w:rPr>
          <w:t>www.cms.gov/medicare-coverage-database/view/lcd.aspx?lcdid=35026&amp;ver=75&amp;keyword=rituximab&amp;keywordType=starts&amp;areaId=all&amp;docType=NCA,CAL,NCD,MEDCAC,TA,MCD,6,3,5,1,F,P&amp;contractOption=all&amp;sortBy=relevance&amp;bc=1</w:t>
        </w:r>
      </w:hyperlink>
      <w:r w:rsidRPr="00B04537">
        <w:rPr>
          <w:rFonts w:ascii="Futura" w:eastAsia="Calibri" w:hAnsi="Futura" w:cs="Calibri"/>
          <w:color w:val="000000"/>
          <w:sz w:val="20"/>
          <w:szCs w:val="20"/>
          <w:lang w:bidi="en-US"/>
        </w:rPr>
        <w:t>.</w:t>
      </w:r>
    </w:p>
    <w:p w14:paraId="2A62542D" w14:textId="4C4A8E89" w:rsidR="00FA7C17" w:rsidRPr="00B04537" w:rsidRDefault="00F64756" w:rsidP="00174A69">
      <w:pPr>
        <w:pStyle w:val="ListParagraph"/>
        <w:numPr>
          <w:ilvl w:val="0"/>
          <w:numId w:val="1"/>
        </w:numPr>
        <w:spacing w:after="0" w:line="240" w:lineRule="auto"/>
        <w:rPr>
          <w:rFonts w:ascii="Futura" w:eastAsia="Calibri" w:hAnsi="Futura" w:cs="Calibri"/>
          <w:b/>
          <w:bCs/>
          <w:color w:val="000000"/>
          <w:sz w:val="20"/>
          <w:szCs w:val="20"/>
          <w:lang w:bidi="en-US"/>
        </w:rPr>
      </w:pPr>
      <w:r w:rsidRPr="00B04537">
        <w:rPr>
          <w:rFonts w:ascii="Futura" w:eastAsia="Calibri" w:hAnsi="Futura" w:cs="Calibri"/>
          <w:color w:val="000000"/>
          <w:sz w:val="20"/>
          <w:szCs w:val="20"/>
          <w:lang w:bidi="en-US"/>
        </w:rPr>
        <w:t xml:space="preserve">eternalHealth Medicare Part B Prior Authorization List.  </w:t>
      </w:r>
      <w:hyperlink r:id="rId11" w:history="1">
        <w:r w:rsidRPr="00B04537">
          <w:rPr>
            <w:rStyle w:val="Hyperlink"/>
            <w:rFonts w:ascii="Futura" w:eastAsia="Calibri" w:hAnsi="Futura" w:cs="Calibri"/>
            <w:sz w:val="20"/>
            <w:szCs w:val="20"/>
            <w:lang w:bidi="en-US"/>
          </w:rPr>
          <w:t>https://www.eternalhealth.com/wp-content/uploads/2022/10/eternalHealth_MA-Part-B-PA-List-eff-1-1-2025.pdf</w:t>
        </w:r>
      </w:hyperlink>
    </w:p>
    <w:p w14:paraId="55401300" w14:textId="177C702B" w:rsidR="00A46203" w:rsidRPr="00AA09A0" w:rsidRDefault="00F45E5D" w:rsidP="006A4B3F">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CMS ASP Pricing Files.  </w:t>
      </w:r>
      <w:hyperlink r:id="rId12" w:history="1">
        <w:r>
          <w:rPr>
            <w:rStyle w:val="Hyperlink"/>
            <w:rFonts w:ascii="Futura" w:eastAsia="Calibri" w:hAnsi="Futura" w:cs="Calibri"/>
            <w:sz w:val="20"/>
            <w:szCs w:val="20"/>
            <w:lang w:bidi="en-US"/>
          </w:rPr>
          <w:t>https://www.cms.gov/medicare/payment/part-b-drugs/asp-pricing-files</w:t>
        </w:r>
      </w:hyperlink>
    </w:p>
    <w:p w14:paraId="0660324A" w14:textId="77777777" w:rsidR="009C7DD7" w:rsidRDefault="009C7DD7" w:rsidP="009C7DD7">
      <w:pPr>
        <w:pStyle w:val="ListParagraph"/>
        <w:spacing w:after="0" w:line="240" w:lineRule="auto"/>
        <w:rPr>
          <w:rFonts w:ascii="Futura" w:eastAsia="Calibri" w:hAnsi="Futura" w:cs="Calibri"/>
          <w:color w:val="000000"/>
          <w:sz w:val="20"/>
          <w:szCs w:val="20"/>
          <w:lang w:bidi="en-US"/>
        </w:rPr>
      </w:pPr>
    </w:p>
    <w:p w14:paraId="717ACA0E" w14:textId="0FC644FC" w:rsidR="000D5D23" w:rsidRPr="00171CC3" w:rsidRDefault="000D5D23" w:rsidP="00320403">
      <w:pPr>
        <w:widowControl w:val="0"/>
        <w:autoSpaceDE w:val="0"/>
        <w:autoSpaceDN w:val="0"/>
        <w:spacing w:line="240" w:lineRule="auto"/>
        <w:rPr>
          <w:rFonts w:ascii="Futura" w:hAnsi="Futura"/>
          <w:b/>
          <w:bCs/>
          <w:color w:val="00AEDB"/>
          <w:sz w:val="24"/>
          <w:szCs w:val="24"/>
        </w:rPr>
      </w:pPr>
    </w:p>
    <w:sectPr w:rsidR="000D5D23" w:rsidRPr="00171CC3" w:rsidSect="00CB0ED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Futura">
    <w:altName w:val="Century Gothic"/>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8"/>
    <w:multiLevelType w:val="hybridMultilevel"/>
    <w:tmpl w:val="86D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F26E8"/>
    <w:multiLevelType w:val="hybridMultilevel"/>
    <w:tmpl w:val="D10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E15F3"/>
    <w:multiLevelType w:val="multilevel"/>
    <w:tmpl w:val="889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D0473"/>
    <w:multiLevelType w:val="multilevel"/>
    <w:tmpl w:val="99587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F6B5F"/>
    <w:multiLevelType w:val="hybridMultilevel"/>
    <w:tmpl w:val="E64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B4A13"/>
    <w:multiLevelType w:val="multilevel"/>
    <w:tmpl w:val="1174D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149F6"/>
    <w:multiLevelType w:val="multilevel"/>
    <w:tmpl w:val="6D5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265964">
    <w:abstractNumId w:val="0"/>
  </w:num>
  <w:num w:numId="2" w16cid:durableId="31996377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197693514">
    <w:abstractNumId w:val="1"/>
  </w:num>
  <w:num w:numId="4" w16cid:durableId="14250800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017264159">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 w16cid:durableId="46335409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 w16cid:durableId="68710408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 w16cid:durableId="41189684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16cid:durableId="348065662">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 w16cid:durableId="106406370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 w16cid:durableId="46184819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2" w16cid:durableId="107289156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3" w16cid:durableId="59212979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4" w16cid:durableId="86189453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16cid:durableId="158984980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6" w16cid:durableId="203129511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7" w16cid:durableId="49322983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8" w16cid:durableId="990210969">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9" w16cid:durableId="131846160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181733488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1" w16cid:durableId="1319347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2" w16cid:durableId="134096461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16cid:durableId="155584676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4" w16cid:durableId="1621374999">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5" w16cid:durableId="1741369132">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6" w16cid:durableId="200057358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7" w16cid:durableId="61506083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8" w16cid:durableId="213313328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9" w16cid:durableId="142299159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0" w16cid:durableId="125116324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1" w16cid:durableId="1616600079">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2" w16cid:durableId="2025324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3" w16cid:durableId="1526871222">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34" w16cid:durableId="185415040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35" w16cid:durableId="1263566442">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36" w16cid:durableId="182308568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37" w16cid:durableId="80439166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38" w16cid:durableId="77806469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39" w16cid:durableId="936015599">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40" w16cid:durableId="139539830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41" w16cid:durableId="60519026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42" w16cid:durableId="91077452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43" w16cid:durableId="184655255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44" w16cid:durableId="198102940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45" w16cid:durableId="81364453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46" w16cid:durableId="2113477212">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47" w16cid:durableId="125450685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48" w16cid:durableId="23594436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49" w16cid:durableId="1140541172">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50" w16cid:durableId="205202892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51" w16cid:durableId="168401833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52" w16cid:durableId="90480277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53" w16cid:durableId="189885563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54" w16cid:durableId="82929259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55" w16cid:durableId="102552384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56" w16cid:durableId="198759016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lvlOverride w:ilvl="6">
      <w:lvl w:ilvl="6">
        <w:numFmt w:val="bullet"/>
        <w:lvlText w:val="o"/>
        <w:lvlJc w:val="left"/>
        <w:pPr>
          <w:tabs>
            <w:tab w:val="num" w:pos="5040"/>
          </w:tabs>
          <w:ind w:left="5040" w:hanging="360"/>
        </w:pPr>
        <w:rPr>
          <w:rFonts w:ascii="Courier New" w:hAnsi="Courier New" w:hint="default"/>
          <w:sz w:val="20"/>
        </w:rPr>
      </w:lvl>
    </w:lvlOverride>
  </w:num>
  <w:num w:numId="57" w16cid:durableId="37312069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8" w16cid:durableId="129783432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59" w16cid:durableId="161581852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60" w16cid:durableId="128565062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61" w16cid:durableId="199976560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62" w16cid:durableId="199768443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63" w16cid:durableId="1504272192">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64" w16cid:durableId="205681163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5" w16cid:durableId="205003371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6" w16cid:durableId="34533238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67" w16cid:durableId="32197862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68" w16cid:durableId="749154692">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9" w16cid:durableId="98631819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0" w16cid:durableId="139277712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71" w16cid:durableId="105816267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72" w16cid:durableId="105054399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3" w16cid:durableId="188706241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74" w16cid:durableId="2081906721">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75" w16cid:durableId="145995201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76" w16cid:durableId="76245945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7" w16cid:durableId="113255503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78" w16cid:durableId="171307521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79" w16cid:durableId="60254032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80" w16cid:durableId="111944889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1" w16cid:durableId="152378667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2" w16cid:durableId="1182862463">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83" w16cid:durableId="110102370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84" w16cid:durableId="150315515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85" w16cid:durableId="78781425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6" w16cid:durableId="1572814147">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87" w16cid:durableId="21181299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88" w16cid:durableId="497233708">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89" w16cid:durableId="187776885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0" w16cid:durableId="175906256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91" w16cid:durableId="111779571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92" w16cid:durableId="13769745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93" w16cid:durableId="92310598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94" w16cid:durableId="209266034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95" w16cid:durableId="10512118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96" w16cid:durableId="16640910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97" w16cid:durableId="1082485125">
    <w:abstractNumId w:val="6"/>
  </w:num>
  <w:num w:numId="98" w16cid:durableId="890921572">
    <w:abstractNumId w:val="5"/>
  </w:num>
  <w:num w:numId="99" w16cid:durableId="32778460">
    <w:abstractNumId w:val="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3"/>
    <w:rsid w:val="00002194"/>
    <w:rsid w:val="00002541"/>
    <w:rsid w:val="00006F2B"/>
    <w:rsid w:val="000216B1"/>
    <w:rsid w:val="00050288"/>
    <w:rsid w:val="0005293D"/>
    <w:rsid w:val="00055090"/>
    <w:rsid w:val="00070C3E"/>
    <w:rsid w:val="000778F1"/>
    <w:rsid w:val="00084B4D"/>
    <w:rsid w:val="00087AC4"/>
    <w:rsid w:val="000951BF"/>
    <w:rsid w:val="00095439"/>
    <w:rsid w:val="000A72D9"/>
    <w:rsid w:val="000C7E39"/>
    <w:rsid w:val="000D5D23"/>
    <w:rsid w:val="000E3CFD"/>
    <w:rsid w:val="000E48B4"/>
    <w:rsid w:val="000F0644"/>
    <w:rsid w:val="000F5645"/>
    <w:rsid w:val="0010271C"/>
    <w:rsid w:val="00110ABA"/>
    <w:rsid w:val="00111DE8"/>
    <w:rsid w:val="00111E83"/>
    <w:rsid w:val="00114DFB"/>
    <w:rsid w:val="00121A5D"/>
    <w:rsid w:val="0013315A"/>
    <w:rsid w:val="001374B2"/>
    <w:rsid w:val="00143748"/>
    <w:rsid w:val="00146F48"/>
    <w:rsid w:val="001505D9"/>
    <w:rsid w:val="00151F12"/>
    <w:rsid w:val="00163B05"/>
    <w:rsid w:val="00171031"/>
    <w:rsid w:val="00171CC3"/>
    <w:rsid w:val="001732AA"/>
    <w:rsid w:val="0017367D"/>
    <w:rsid w:val="0017549C"/>
    <w:rsid w:val="0018090B"/>
    <w:rsid w:val="0018204C"/>
    <w:rsid w:val="001A17A5"/>
    <w:rsid w:val="001C3AA0"/>
    <w:rsid w:val="001C4454"/>
    <w:rsid w:val="001C6D04"/>
    <w:rsid w:val="001D184A"/>
    <w:rsid w:val="001D3758"/>
    <w:rsid w:val="001D485D"/>
    <w:rsid w:val="001D52B4"/>
    <w:rsid w:val="001F2395"/>
    <w:rsid w:val="002068E2"/>
    <w:rsid w:val="00217E56"/>
    <w:rsid w:val="00222323"/>
    <w:rsid w:val="00225DEA"/>
    <w:rsid w:val="00232169"/>
    <w:rsid w:val="00234EA0"/>
    <w:rsid w:val="00244FDD"/>
    <w:rsid w:val="00255C58"/>
    <w:rsid w:val="00261E9C"/>
    <w:rsid w:val="00267D2D"/>
    <w:rsid w:val="00270308"/>
    <w:rsid w:val="00270F57"/>
    <w:rsid w:val="00277C44"/>
    <w:rsid w:val="00281E03"/>
    <w:rsid w:val="00282EC9"/>
    <w:rsid w:val="00284C10"/>
    <w:rsid w:val="0029343B"/>
    <w:rsid w:val="002B2E6E"/>
    <w:rsid w:val="002B3DD1"/>
    <w:rsid w:val="002C19CE"/>
    <w:rsid w:val="002C661D"/>
    <w:rsid w:val="002C7A14"/>
    <w:rsid w:val="002D3FFC"/>
    <w:rsid w:val="002E6A09"/>
    <w:rsid w:val="002E7BF7"/>
    <w:rsid w:val="002F4966"/>
    <w:rsid w:val="00310B8F"/>
    <w:rsid w:val="00311667"/>
    <w:rsid w:val="00311AED"/>
    <w:rsid w:val="00320403"/>
    <w:rsid w:val="00323429"/>
    <w:rsid w:val="0033442B"/>
    <w:rsid w:val="00337661"/>
    <w:rsid w:val="00354530"/>
    <w:rsid w:val="00360FBC"/>
    <w:rsid w:val="00362E72"/>
    <w:rsid w:val="0036645E"/>
    <w:rsid w:val="00370721"/>
    <w:rsid w:val="00372252"/>
    <w:rsid w:val="00375509"/>
    <w:rsid w:val="0038314B"/>
    <w:rsid w:val="00384870"/>
    <w:rsid w:val="003850AC"/>
    <w:rsid w:val="003A3BE8"/>
    <w:rsid w:val="003A6AE2"/>
    <w:rsid w:val="003B405F"/>
    <w:rsid w:val="003C7F01"/>
    <w:rsid w:val="003E1B92"/>
    <w:rsid w:val="003E5ADF"/>
    <w:rsid w:val="003E698F"/>
    <w:rsid w:val="003F0AB1"/>
    <w:rsid w:val="003F6095"/>
    <w:rsid w:val="00400AA7"/>
    <w:rsid w:val="00401E90"/>
    <w:rsid w:val="004057BB"/>
    <w:rsid w:val="00405835"/>
    <w:rsid w:val="00407604"/>
    <w:rsid w:val="0041548D"/>
    <w:rsid w:val="0041776D"/>
    <w:rsid w:val="00420F85"/>
    <w:rsid w:val="004219F6"/>
    <w:rsid w:val="0043033F"/>
    <w:rsid w:val="0043090E"/>
    <w:rsid w:val="00436A19"/>
    <w:rsid w:val="00436E7B"/>
    <w:rsid w:val="00446EA0"/>
    <w:rsid w:val="00452D0D"/>
    <w:rsid w:val="00466972"/>
    <w:rsid w:val="00467FD5"/>
    <w:rsid w:val="00474DCE"/>
    <w:rsid w:val="004807F3"/>
    <w:rsid w:val="0048304F"/>
    <w:rsid w:val="00485617"/>
    <w:rsid w:val="004876ED"/>
    <w:rsid w:val="00497B99"/>
    <w:rsid w:val="004A6CAF"/>
    <w:rsid w:val="004B711A"/>
    <w:rsid w:val="004B7D0A"/>
    <w:rsid w:val="004B7D63"/>
    <w:rsid w:val="004C0644"/>
    <w:rsid w:val="004C0821"/>
    <w:rsid w:val="004C4D99"/>
    <w:rsid w:val="004C4ECA"/>
    <w:rsid w:val="004D2348"/>
    <w:rsid w:val="004D2403"/>
    <w:rsid w:val="004E3731"/>
    <w:rsid w:val="004E3830"/>
    <w:rsid w:val="004F0D94"/>
    <w:rsid w:val="004F3B63"/>
    <w:rsid w:val="004F56DC"/>
    <w:rsid w:val="004F5EE3"/>
    <w:rsid w:val="004F6CF7"/>
    <w:rsid w:val="005027EC"/>
    <w:rsid w:val="005075C8"/>
    <w:rsid w:val="00510459"/>
    <w:rsid w:val="0051220F"/>
    <w:rsid w:val="005226EB"/>
    <w:rsid w:val="005269B9"/>
    <w:rsid w:val="005372E4"/>
    <w:rsid w:val="00541A38"/>
    <w:rsid w:val="00541FB8"/>
    <w:rsid w:val="00542D9D"/>
    <w:rsid w:val="0055003C"/>
    <w:rsid w:val="00554794"/>
    <w:rsid w:val="00563F86"/>
    <w:rsid w:val="00564D9D"/>
    <w:rsid w:val="00574C5A"/>
    <w:rsid w:val="00581FB0"/>
    <w:rsid w:val="00587BC5"/>
    <w:rsid w:val="00596AA0"/>
    <w:rsid w:val="005A1E9B"/>
    <w:rsid w:val="005A4D07"/>
    <w:rsid w:val="005A5076"/>
    <w:rsid w:val="005B1B78"/>
    <w:rsid w:val="005B5D37"/>
    <w:rsid w:val="005B66F8"/>
    <w:rsid w:val="005C3DC3"/>
    <w:rsid w:val="005D0A2F"/>
    <w:rsid w:val="005E4173"/>
    <w:rsid w:val="00627E28"/>
    <w:rsid w:val="0063092D"/>
    <w:rsid w:val="006315C5"/>
    <w:rsid w:val="00633F2F"/>
    <w:rsid w:val="00643E03"/>
    <w:rsid w:val="00644051"/>
    <w:rsid w:val="00645EAC"/>
    <w:rsid w:val="00647389"/>
    <w:rsid w:val="006502EC"/>
    <w:rsid w:val="006522B1"/>
    <w:rsid w:val="00652714"/>
    <w:rsid w:val="006661F8"/>
    <w:rsid w:val="00671635"/>
    <w:rsid w:val="00672EF0"/>
    <w:rsid w:val="006747AA"/>
    <w:rsid w:val="00682D71"/>
    <w:rsid w:val="006837C1"/>
    <w:rsid w:val="006905E1"/>
    <w:rsid w:val="006A4B3F"/>
    <w:rsid w:val="006A5EBF"/>
    <w:rsid w:val="006B4DEF"/>
    <w:rsid w:val="006C2777"/>
    <w:rsid w:val="006C570F"/>
    <w:rsid w:val="006C791A"/>
    <w:rsid w:val="006D2A46"/>
    <w:rsid w:val="006D4720"/>
    <w:rsid w:val="006E1546"/>
    <w:rsid w:val="006E2283"/>
    <w:rsid w:val="006E7273"/>
    <w:rsid w:val="0070226E"/>
    <w:rsid w:val="007022FA"/>
    <w:rsid w:val="00702342"/>
    <w:rsid w:val="00705F98"/>
    <w:rsid w:val="0071688B"/>
    <w:rsid w:val="007230EC"/>
    <w:rsid w:val="0072344F"/>
    <w:rsid w:val="0072503A"/>
    <w:rsid w:val="007301A3"/>
    <w:rsid w:val="007320D1"/>
    <w:rsid w:val="00740D32"/>
    <w:rsid w:val="00741603"/>
    <w:rsid w:val="00741841"/>
    <w:rsid w:val="00742CF1"/>
    <w:rsid w:val="00745810"/>
    <w:rsid w:val="00745EEC"/>
    <w:rsid w:val="00747DAE"/>
    <w:rsid w:val="00754158"/>
    <w:rsid w:val="00760A91"/>
    <w:rsid w:val="007610DB"/>
    <w:rsid w:val="00764E03"/>
    <w:rsid w:val="007812DC"/>
    <w:rsid w:val="007A409D"/>
    <w:rsid w:val="007A411C"/>
    <w:rsid w:val="007A6AD5"/>
    <w:rsid w:val="007B4386"/>
    <w:rsid w:val="007B4B49"/>
    <w:rsid w:val="007C25F4"/>
    <w:rsid w:val="007C5A44"/>
    <w:rsid w:val="007D2D36"/>
    <w:rsid w:val="007E38D8"/>
    <w:rsid w:val="007F4F63"/>
    <w:rsid w:val="00800709"/>
    <w:rsid w:val="00811596"/>
    <w:rsid w:val="008169B9"/>
    <w:rsid w:val="00821D58"/>
    <w:rsid w:val="008224A5"/>
    <w:rsid w:val="00827A7B"/>
    <w:rsid w:val="0083268A"/>
    <w:rsid w:val="00832A58"/>
    <w:rsid w:val="00833D5F"/>
    <w:rsid w:val="00834861"/>
    <w:rsid w:val="00835DAB"/>
    <w:rsid w:val="00836EAE"/>
    <w:rsid w:val="00853AE4"/>
    <w:rsid w:val="008562BA"/>
    <w:rsid w:val="00856D17"/>
    <w:rsid w:val="00867E8D"/>
    <w:rsid w:val="00883B3D"/>
    <w:rsid w:val="00892C1A"/>
    <w:rsid w:val="00892F25"/>
    <w:rsid w:val="008A7D57"/>
    <w:rsid w:val="008B38E2"/>
    <w:rsid w:val="008B66CF"/>
    <w:rsid w:val="008C42AD"/>
    <w:rsid w:val="008C77C2"/>
    <w:rsid w:val="008D39C3"/>
    <w:rsid w:val="008D3BB4"/>
    <w:rsid w:val="008E134A"/>
    <w:rsid w:val="008E1C8A"/>
    <w:rsid w:val="008E33BB"/>
    <w:rsid w:val="008F1491"/>
    <w:rsid w:val="008F3574"/>
    <w:rsid w:val="008F6DA5"/>
    <w:rsid w:val="008F7EDA"/>
    <w:rsid w:val="0090595D"/>
    <w:rsid w:val="0091524E"/>
    <w:rsid w:val="00917608"/>
    <w:rsid w:val="0092568E"/>
    <w:rsid w:val="00930C83"/>
    <w:rsid w:val="00934560"/>
    <w:rsid w:val="00935508"/>
    <w:rsid w:val="0093575C"/>
    <w:rsid w:val="00944973"/>
    <w:rsid w:val="00955165"/>
    <w:rsid w:val="009551AB"/>
    <w:rsid w:val="00956728"/>
    <w:rsid w:val="00962F45"/>
    <w:rsid w:val="0096655A"/>
    <w:rsid w:val="00967F85"/>
    <w:rsid w:val="00972E5F"/>
    <w:rsid w:val="00973896"/>
    <w:rsid w:val="00977B41"/>
    <w:rsid w:val="009815F3"/>
    <w:rsid w:val="0098253C"/>
    <w:rsid w:val="00984FC0"/>
    <w:rsid w:val="00997735"/>
    <w:rsid w:val="009A1FD0"/>
    <w:rsid w:val="009A5611"/>
    <w:rsid w:val="009A65B2"/>
    <w:rsid w:val="009A7E8B"/>
    <w:rsid w:val="009B0030"/>
    <w:rsid w:val="009B2EC7"/>
    <w:rsid w:val="009C1F2E"/>
    <w:rsid w:val="009C2524"/>
    <w:rsid w:val="009C7DD7"/>
    <w:rsid w:val="009D3A65"/>
    <w:rsid w:val="009E3F5F"/>
    <w:rsid w:val="009E5E17"/>
    <w:rsid w:val="009F51BE"/>
    <w:rsid w:val="009F67D8"/>
    <w:rsid w:val="009F7E38"/>
    <w:rsid w:val="00A042A8"/>
    <w:rsid w:val="00A05151"/>
    <w:rsid w:val="00A06D28"/>
    <w:rsid w:val="00A31EC2"/>
    <w:rsid w:val="00A46203"/>
    <w:rsid w:val="00A510FE"/>
    <w:rsid w:val="00A52B40"/>
    <w:rsid w:val="00A54A77"/>
    <w:rsid w:val="00A6474E"/>
    <w:rsid w:val="00A653B4"/>
    <w:rsid w:val="00A674D1"/>
    <w:rsid w:val="00A74550"/>
    <w:rsid w:val="00A77887"/>
    <w:rsid w:val="00A8078C"/>
    <w:rsid w:val="00A85AC1"/>
    <w:rsid w:val="00A862D2"/>
    <w:rsid w:val="00A9620B"/>
    <w:rsid w:val="00AA09A0"/>
    <w:rsid w:val="00AB352A"/>
    <w:rsid w:val="00AB6317"/>
    <w:rsid w:val="00AC208E"/>
    <w:rsid w:val="00AC3D96"/>
    <w:rsid w:val="00AE372C"/>
    <w:rsid w:val="00AF6352"/>
    <w:rsid w:val="00B02432"/>
    <w:rsid w:val="00B04537"/>
    <w:rsid w:val="00B125DE"/>
    <w:rsid w:val="00B127F8"/>
    <w:rsid w:val="00B15188"/>
    <w:rsid w:val="00B15619"/>
    <w:rsid w:val="00B17714"/>
    <w:rsid w:val="00B23FE9"/>
    <w:rsid w:val="00B30CF8"/>
    <w:rsid w:val="00B317BA"/>
    <w:rsid w:val="00B34984"/>
    <w:rsid w:val="00B36AE9"/>
    <w:rsid w:val="00B413BB"/>
    <w:rsid w:val="00B60BDE"/>
    <w:rsid w:val="00B77D2D"/>
    <w:rsid w:val="00B816C0"/>
    <w:rsid w:val="00B8376A"/>
    <w:rsid w:val="00B85E44"/>
    <w:rsid w:val="00B864D2"/>
    <w:rsid w:val="00B87B8F"/>
    <w:rsid w:val="00B87C5F"/>
    <w:rsid w:val="00B92C2A"/>
    <w:rsid w:val="00B9346B"/>
    <w:rsid w:val="00B945C9"/>
    <w:rsid w:val="00BA7316"/>
    <w:rsid w:val="00BB10D4"/>
    <w:rsid w:val="00BB3294"/>
    <w:rsid w:val="00BC07B2"/>
    <w:rsid w:val="00BC0C87"/>
    <w:rsid w:val="00BD0487"/>
    <w:rsid w:val="00BD3E6B"/>
    <w:rsid w:val="00BE6FAE"/>
    <w:rsid w:val="00BF3791"/>
    <w:rsid w:val="00C02BFE"/>
    <w:rsid w:val="00C05623"/>
    <w:rsid w:val="00C11803"/>
    <w:rsid w:val="00C11B4C"/>
    <w:rsid w:val="00C142D2"/>
    <w:rsid w:val="00C15C77"/>
    <w:rsid w:val="00C23085"/>
    <w:rsid w:val="00C2471A"/>
    <w:rsid w:val="00C3132D"/>
    <w:rsid w:val="00C3149B"/>
    <w:rsid w:val="00C412CA"/>
    <w:rsid w:val="00C439A1"/>
    <w:rsid w:val="00C5183F"/>
    <w:rsid w:val="00C523F4"/>
    <w:rsid w:val="00C71E74"/>
    <w:rsid w:val="00C82C80"/>
    <w:rsid w:val="00C84EFE"/>
    <w:rsid w:val="00C86425"/>
    <w:rsid w:val="00C8645E"/>
    <w:rsid w:val="00C9120D"/>
    <w:rsid w:val="00C92725"/>
    <w:rsid w:val="00C96407"/>
    <w:rsid w:val="00CA4636"/>
    <w:rsid w:val="00CA62E6"/>
    <w:rsid w:val="00CB0EDA"/>
    <w:rsid w:val="00CB4D37"/>
    <w:rsid w:val="00CB5E28"/>
    <w:rsid w:val="00CC2B10"/>
    <w:rsid w:val="00CD2097"/>
    <w:rsid w:val="00CD610B"/>
    <w:rsid w:val="00CD64B2"/>
    <w:rsid w:val="00CD77BC"/>
    <w:rsid w:val="00CE20F1"/>
    <w:rsid w:val="00CE393E"/>
    <w:rsid w:val="00CE56FF"/>
    <w:rsid w:val="00CF0A83"/>
    <w:rsid w:val="00CF1F36"/>
    <w:rsid w:val="00D001BF"/>
    <w:rsid w:val="00D0049A"/>
    <w:rsid w:val="00D0674C"/>
    <w:rsid w:val="00D13DDD"/>
    <w:rsid w:val="00D242BA"/>
    <w:rsid w:val="00D25F21"/>
    <w:rsid w:val="00D26F9F"/>
    <w:rsid w:val="00D319BA"/>
    <w:rsid w:val="00D33CB7"/>
    <w:rsid w:val="00D35663"/>
    <w:rsid w:val="00D37B7F"/>
    <w:rsid w:val="00D41FEF"/>
    <w:rsid w:val="00D7097F"/>
    <w:rsid w:val="00D85742"/>
    <w:rsid w:val="00D9029B"/>
    <w:rsid w:val="00DA133F"/>
    <w:rsid w:val="00DB19EA"/>
    <w:rsid w:val="00DB4210"/>
    <w:rsid w:val="00DB428A"/>
    <w:rsid w:val="00DC1B0C"/>
    <w:rsid w:val="00DD1951"/>
    <w:rsid w:val="00DF38F3"/>
    <w:rsid w:val="00DF6D2E"/>
    <w:rsid w:val="00E01AE9"/>
    <w:rsid w:val="00E03060"/>
    <w:rsid w:val="00E1012C"/>
    <w:rsid w:val="00E15732"/>
    <w:rsid w:val="00E22BA1"/>
    <w:rsid w:val="00E25251"/>
    <w:rsid w:val="00E36BFB"/>
    <w:rsid w:val="00E36E50"/>
    <w:rsid w:val="00E412FB"/>
    <w:rsid w:val="00E42974"/>
    <w:rsid w:val="00E51E1F"/>
    <w:rsid w:val="00E55558"/>
    <w:rsid w:val="00E70CA5"/>
    <w:rsid w:val="00E768B3"/>
    <w:rsid w:val="00E82A34"/>
    <w:rsid w:val="00E96D83"/>
    <w:rsid w:val="00EB5152"/>
    <w:rsid w:val="00ED3544"/>
    <w:rsid w:val="00ED739E"/>
    <w:rsid w:val="00EE2944"/>
    <w:rsid w:val="00EE7D5B"/>
    <w:rsid w:val="00EF0772"/>
    <w:rsid w:val="00EF112B"/>
    <w:rsid w:val="00EF30F2"/>
    <w:rsid w:val="00EF60ED"/>
    <w:rsid w:val="00F01AB9"/>
    <w:rsid w:val="00F01C58"/>
    <w:rsid w:val="00F034BA"/>
    <w:rsid w:val="00F114E0"/>
    <w:rsid w:val="00F11EF3"/>
    <w:rsid w:val="00F1311D"/>
    <w:rsid w:val="00F13FFD"/>
    <w:rsid w:val="00F1578C"/>
    <w:rsid w:val="00F304BD"/>
    <w:rsid w:val="00F360A6"/>
    <w:rsid w:val="00F36C54"/>
    <w:rsid w:val="00F36E89"/>
    <w:rsid w:val="00F4152B"/>
    <w:rsid w:val="00F45E5D"/>
    <w:rsid w:val="00F51F71"/>
    <w:rsid w:val="00F524DA"/>
    <w:rsid w:val="00F52D8E"/>
    <w:rsid w:val="00F55284"/>
    <w:rsid w:val="00F57795"/>
    <w:rsid w:val="00F57F03"/>
    <w:rsid w:val="00F57FC9"/>
    <w:rsid w:val="00F64756"/>
    <w:rsid w:val="00F64ED3"/>
    <w:rsid w:val="00F71626"/>
    <w:rsid w:val="00F94EF6"/>
    <w:rsid w:val="00F95A1F"/>
    <w:rsid w:val="00F96E21"/>
    <w:rsid w:val="00F97CFE"/>
    <w:rsid w:val="00FA3D8A"/>
    <w:rsid w:val="00FA4408"/>
    <w:rsid w:val="00FA7C17"/>
    <w:rsid w:val="00FB35AF"/>
    <w:rsid w:val="00FB396E"/>
    <w:rsid w:val="00FC1668"/>
    <w:rsid w:val="00FC1E7C"/>
    <w:rsid w:val="00FC2ADC"/>
    <w:rsid w:val="00FC554A"/>
    <w:rsid w:val="00FD42FF"/>
    <w:rsid w:val="00FE2AB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F0F"/>
  <w15:chartTrackingRefBased/>
  <w15:docId w15:val="{BA3DBEAA-AC70-4E0D-960D-288322D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8"/>
  </w:style>
  <w:style w:type="paragraph" w:styleId="Heading1">
    <w:name w:val="heading 1"/>
    <w:basedOn w:val="Normal"/>
    <w:next w:val="Normal"/>
    <w:link w:val="Heading1Char"/>
    <w:uiPriority w:val="9"/>
    <w:qFormat/>
    <w:rsid w:val="0065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1C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1CC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7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3C"/>
    <w:pPr>
      <w:ind w:left="720"/>
      <w:contextualSpacing/>
    </w:pPr>
  </w:style>
  <w:style w:type="character" w:styleId="Hyperlink">
    <w:name w:val="Hyperlink"/>
    <w:basedOn w:val="DefaultParagraphFont"/>
    <w:uiPriority w:val="99"/>
    <w:unhideWhenUsed/>
    <w:rsid w:val="00CE20F1"/>
    <w:rPr>
      <w:color w:val="0000FF"/>
      <w:u w:val="single"/>
    </w:rPr>
  </w:style>
  <w:style w:type="character" w:customStyle="1" w:styleId="Heading1Char">
    <w:name w:val="Heading 1 Char"/>
    <w:basedOn w:val="DefaultParagraphFont"/>
    <w:link w:val="Heading1"/>
    <w:uiPriority w:val="9"/>
    <w:rsid w:val="006502EC"/>
    <w:rPr>
      <w:rFonts w:asciiTheme="majorHAnsi" w:eastAsiaTheme="majorEastAsia" w:hAnsiTheme="majorHAnsi" w:cstheme="majorBidi"/>
      <w:color w:val="2F5496" w:themeColor="accent1" w:themeShade="BF"/>
      <w:sz w:val="32"/>
      <w:szCs w:val="32"/>
    </w:rPr>
  </w:style>
  <w:style w:type="paragraph" w:customStyle="1" w:styleId="Default">
    <w:name w:val="Default"/>
    <w:rsid w:val="00B60BDE"/>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4219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6C79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2344F"/>
    <w:rPr>
      <w:color w:val="605E5C"/>
      <w:shd w:val="clear" w:color="auto" w:fill="E1DFDD"/>
    </w:rPr>
  </w:style>
  <w:style w:type="paragraph" w:customStyle="1" w:styleId="msonormal0">
    <w:name w:val="msonormal"/>
    <w:basedOn w:val="Normal"/>
    <w:rsid w:val="00AF6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AF6352"/>
    <w:rPr>
      <w:color w:val="800080"/>
      <w:u w:val="single"/>
    </w:rPr>
  </w:style>
  <w:style w:type="paragraph" w:customStyle="1" w:styleId="otglist2">
    <w:name w:val="otglist2"/>
    <w:basedOn w:val="Normal"/>
    <w:rsid w:val="00AF6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3">
    <w:name w:val="otglist3"/>
    <w:basedOn w:val="Normal"/>
    <w:rsid w:val="00AF6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4">
    <w:name w:val="otglist4"/>
    <w:basedOn w:val="Normal"/>
    <w:rsid w:val="00AF6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5">
    <w:name w:val="otglist5"/>
    <w:basedOn w:val="Normal"/>
    <w:rsid w:val="00AF6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6">
    <w:name w:val="otglist6"/>
    <w:basedOn w:val="Normal"/>
    <w:rsid w:val="00AF6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7">
    <w:name w:val="otglist7"/>
    <w:basedOn w:val="Normal"/>
    <w:rsid w:val="00AF6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8">
    <w:name w:val="otglist8"/>
    <w:basedOn w:val="Normal"/>
    <w:rsid w:val="00AF6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4007">
      <w:bodyDiv w:val="1"/>
      <w:marLeft w:val="0"/>
      <w:marRight w:val="0"/>
      <w:marTop w:val="0"/>
      <w:marBottom w:val="0"/>
      <w:divBdr>
        <w:top w:val="none" w:sz="0" w:space="0" w:color="auto"/>
        <w:left w:val="none" w:sz="0" w:space="0" w:color="auto"/>
        <w:bottom w:val="none" w:sz="0" w:space="0" w:color="auto"/>
        <w:right w:val="none" w:sz="0" w:space="0" w:color="auto"/>
      </w:divBdr>
      <w:divsChild>
        <w:div w:id="2053990636">
          <w:marLeft w:val="0"/>
          <w:marRight w:val="0"/>
          <w:marTop w:val="0"/>
          <w:marBottom w:val="0"/>
          <w:divBdr>
            <w:top w:val="none" w:sz="0" w:space="0" w:color="auto"/>
            <w:left w:val="none" w:sz="0" w:space="0" w:color="auto"/>
            <w:bottom w:val="none" w:sz="0" w:space="0" w:color="auto"/>
            <w:right w:val="none" w:sz="0" w:space="0" w:color="auto"/>
          </w:divBdr>
          <w:divsChild>
            <w:div w:id="1100563442">
              <w:marLeft w:val="0"/>
              <w:marRight w:val="0"/>
              <w:marTop w:val="216"/>
              <w:marBottom w:val="0"/>
              <w:divBdr>
                <w:top w:val="dashed" w:sz="6" w:space="0" w:color="auto"/>
                <w:left w:val="none" w:sz="0" w:space="0" w:color="auto"/>
                <w:bottom w:val="none" w:sz="0" w:space="0" w:color="auto"/>
                <w:right w:val="none" w:sz="0" w:space="0" w:color="auto"/>
              </w:divBdr>
              <w:divsChild>
                <w:div w:id="315914871">
                  <w:marLeft w:val="0"/>
                  <w:marRight w:val="0"/>
                  <w:marTop w:val="0"/>
                  <w:marBottom w:val="0"/>
                  <w:divBdr>
                    <w:top w:val="none" w:sz="0" w:space="0" w:color="auto"/>
                    <w:left w:val="none" w:sz="0" w:space="0" w:color="auto"/>
                    <w:bottom w:val="none" w:sz="0" w:space="0" w:color="auto"/>
                    <w:right w:val="none" w:sz="0" w:space="0" w:color="auto"/>
                  </w:divBdr>
                </w:div>
              </w:divsChild>
            </w:div>
            <w:div w:id="1991251379">
              <w:marLeft w:val="0"/>
              <w:marRight w:val="0"/>
              <w:marTop w:val="216"/>
              <w:marBottom w:val="0"/>
              <w:divBdr>
                <w:top w:val="dashed" w:sz="6" w:space="0" w:color="auto"/>
                <w:left w:val="none" w:sz="0" w:space="0" w:color="auto"/>
                <w:bottom w:val="none" w:sz="0" w:space="0" w:color="auto"/>
                <w:right w:val="none" w:sz="0" w:space="0" w:color="auto"/>
              </w:divBdr>
            </w:div>
          </w:divsChild>
        </w:div>
        <w:div w:id="732313953">
          <w:marLeft w:val="0"/>
          <w:marRight w:val="0"/>
          <w:marTop w:val="0"/>
          <w:marBottom w:val="0"/>
          <w:divBdr>
            <w:top w:val="none" w:sz="0" w:space="0" w:color="auto"/>
            <w:left w:val="none" w:sz="0" w:space="0" w:color="auto"/>
            <w:bottom w:val="none" w:sz="0" w:space="0" w:color="auto"/>
            <w:right w:val="none" w:sz="0" w:space="0" w:color="auto"/>
          </w:divBdr>
          <w:divsChild>
            <w:div w:id="1361786892">
              <w:marLeft w:val="0"/>
              <w:marRight w:val="0"/>
              <w:marTop w:val="0"/>
              <w:marBottom w:val="0"/>
              <w:divBdr>
                <w:top w:val="none" w:sz="0" w:space="0" w:color="auto"/>
                <w:left w:val="none" w:sz="0" w:space="0" w:color="auto"/>
                <w:bottom w:val="none" w:sz="0" w:space="0" w:color="auto"/>
                <w:right w:val="none" w:sz="0" w:space="0" w:color="auto"/>
              </w:divBdr>
              <w:divsChild>
                <w:div w:id="10271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9893">
      <w:bodyDiv w:val="1"/>
      <w:marLeft w:val="0"/>
      <w:marRight w:val="0"/>
      <w:marTop w:val="0"/>
      <w:marBottom w:val="0"/>
      <w:divBdr>
        <w:top w:val="none" w:sz="0" w:space="0" w:color="auto"/>
        <w:left w:val="none" w:sz="0" w:space="0" w:color="auto"/>
        <w:bottom w:val="none" w:sz="0" w:space="0" w:color="auto"/>
        <w:right w:val="none" w:sz="0" w:space="0" w:color="auto"/>
      </w:divBdr>
    </w:div>
    <w:div w:id="837621397">
      <w:bodyDiv w:val="1"/>
      <w:marLeft w:val="0"/>
      <w:marRight w:val="0"/>
      <w:marTop w:val="0"/>
      <w:marBottom w:val="0"/>
      <w:divBdr>
        <w:top w:val="none" w:sz="0" w:space="0" w:color="auto"/>
        <w:left w:val="none" w:sz="0" w:space="0" w:color="auto"/>
        <w:bottom w:val="none" w:sz="0" w:space="0" w:color="auto"/>
        <w:right w:val="none" w:sz="0" w:space="0" w:color="auto"/>
      </w:divBdr>
      <w:divsChild>
        <w:div w:id="908809419">
          <w:marLeft w:val="0"/>
          <w:marRight w:val="0"/>
          <w:marTop w:val="0"/>
          <w:marBottom w:val="0"/>
          <w:divBdr>
            <w:top w:val="none" w:sz="0" w:space="0" w:color="auto"/>
            <w:left w:val="none" w:sz="0" w:space="0" w:color="auto"/>
            <w:bottom w:val="none" w:sz="0" w:space="0" w:color="auto"/>
            <w:right w:val="none" w:sz="0" w:space="0" w:color="auto"/>
          </w:divBdr>
          <w:divsChild>
            <w:div w:id="138883441">
              <w:marLeft w:val="0"/>
              <w:marRight w:val="0"/>
              <w:marTop w:val="216"/>
              <w:marBottom w:val="0"/>
              <w:divBdr>
                <w:top w:val="dashed" w:sz="6" w:space="0" w:color="auto"/>
                <w:left w:val="none" w:sz="0" w:space="0" w:color="auto"/>
                <w:bottom w:val="none" w:sz="0" w:space="0" w:color="auto"/>
                <w:right w:val="none" w:sz="0" w:space="0" w:color="auto"/>
              </w:divBdr>
              <w:divsChild>
                <w:div w:id="1678075197">
                  <w:marLeft w:val="0"/>
                  <w:marRight w:val="0"/>
                  <w:marTop w:val="0"/>
                  <w:marBottom w:val="0"/>
                  <w:divBdr>
                    <w:top w:val="none" w:sz="0" w:space="0" w:color="auto"/>
                    <w:left w:val="none" w:sz="0" w:space="0" w:color="auto"/>
                    <w:bottom w:val="none" w:sz="0" w:space="0" w:color="auto"/>
                    <w:right w:val="none" w:sz="0" w:space="0" w:color="auto"/>
                  </w:divBdr>
                </w:div>
              </w:divsChild>
            </w:div>
            <w:div w:id="1244266697">
              <w:marLeft w:val="0"/>
              <w:marRight w:val="0"/>
              <w:marTop w:val="216"/>
              <w:marBottom w:val="0"/>
              <w:divBdr>
                <w:top w:val="dashed" w:sz="6" w:space="0" w:color="auto"/>
                <w:left w:val="none" w:sz="0" w:space="0" w:color="auto"/>
                <w:bottom w:val="none" w:sz="0" w:space="0" w:color="auto"/>
                <w:right w:val="none" w:sz="0" w:space="0" w:color="auto"/>
              </w:divBdr>
            </w:div>
          </w:divsChild>
        </w:div>
        <w:div w:id="1578519065">
          <w:marLeft w:val="0"/>
          <w:marRight w:val="0"/>
          <w:marTop w:val="0"/>
          <w:marBottom w:val="0"/>
          <w:divBdr>
            <w:top w:val="none" w:sz="0" w:space="0" w:color="auto"/>
            <w:left w:val="none" w:sz="0" w:space="0" w:color="auto"/>
            <w:bottom w:val="none" w:sz="0" w:space="0" w:color="auto"/>
            <w:right w:val="none" w:sz="0" w:space="0" w:color="auto"/>
          </w:divBdr>
          <w:divsChild>
            <w:div w:id="274290740">
              <w:marLeft w:val="0"/>
              <w:marRight w:val="0"/>
              <w:marTop w:val="0"/>
              <w:marBottom w:val="0"/>
              <w:divBdr>
                <w:top w:val="none" w:sz="0" w:space="0" w:color="auto"/>
                <w:left w:val="none" w:sz="0" w:space="0" w:color="auto"/>
                <w:bottom w:val="none" w:sz="0" w:space="0" w:color="auto"/>
                <w:right w:val="none" w:sz="0" w:space="0" w:color="auto"/>
              </w:divBdr>
              <w:divsChild>
                <w:div w:id="6097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9378">
      <w:bodyDiv w:val="1"/>
      <w:marLeft w:val="0"/>
      <w:marRight w:val="0"/>
      <w:marTop w:val="0"/>
      <w:marBottom w:val="0"/>
      <w:divBdr>
        <w:top w:val="none" w:sz="0" w:space="0" w:color="auto"/>
        <w:left w:val="none" w:sz="0" w:space="0" w:color="auto"/>
        <w:bottom w:val="none" w:sz="0" w:space="0" w:color="auto"/>
        <w:right w:val="none" w:sz="0" w:space="0" w:color="auto"/>
      </w:divBdr>
    </w:div>
    <w:div w:id="1107850867">
      <w:bodyDiv w:val="1"/>
      <w:marLeft w:val="0"/>
      <w:marRight w:val="0"/>
      <w:marTop w:val="0"/>
      <w:marBottom w:val="0"/>
      <w:divBdr>
        <w:top w:val="none" w:sz="0" w:space="0" w:color="auto"/>
        <w:left w:val="none" w:sz="0" w:space="0" w:color="auto"/>
        <w:bottom w:val="none" w:sz="0" w:space="0" w:color="auto"/>
        <w:right w:val="none" w:sz="0" w:space="0" w:color="auto"/>
      </w:divBdr>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277132704">
      <w:bodyDiv w:val="1"/>
      <w:marLeft w:val="0"/>
      <w:marRight w:val="0"/>
      <w:marTop w:val="0"/>
      <w:marBottom w:val="0"/>
      <w:divBdr>
        <w:top w:val="none" w:sz="0" w:space="0" w:color="auto"/>
        <w:left w:val="none" w:sz="0" w:space="0" w:color="auto"/>
        <w:bottom w:val="none" w:sz="0" w:space="0" w:color="auto"/>
        <w:right w:val="none" w:sz="0" w:space="0" w:color="auto"/>
      </w:divBdr>
    </w:div>
    <w:div w:id="1362629833">
      <w:bodyDiv w:val="1"/>
      <w:marLeft w:val="0"/>
      <w:marRight w:val="0"/>
      <w:marTop w:val="0"/>
      <w:marBottom w:val="0"/>
      <w:divBdr>
        <w:top w:val="none" w:sz="0" w:space="0" w:color="auto"/>
        <w:left w:val="none" w:sz="0" w:space="0" w:color="auto"/>
        <w:bottom w:val="none" w:sz="0" w:space="0" w:color="auto"/>
        <w:right w:val="none" w:sz="0" w:space="0" w:color="auto"/>
      </w:divBdr>
    </w:div>
    <w:div w:id="1399207120">
      <w:bodyDiv w:val="1"/>
      <w:marLeft w:val="0"/>
      <w:marRight w:val="0"/>
      <w:marTop w:val="0"/>
      <w:marBottom w:val="0"/>
      <w:divBdr>
        <w:top w:val="none" w:sz="0" w:space="0" w:color="auto"/>
        <w:left w:val="none" w:sz="0" w:space="0" w:color="auto"/>
        <w:bottom w:val="none" w:sz="0" w:space="0" w:color="auto"/>
        <w:right w:val="none" w:sz="0" w:space="0" w:color="auto"/>
      </w:divBdr>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
    <w:div w:id="1454596163">
      <w:bodyDiv w:val="1"/>
      <w:marLeft w:val="0"/>
      <w:marRight w:val="0"/>
      <w:marTop w:val="0"/>
      <w:marBottom w:val="0"/>
      <w:divBdr>
        <w:top w:val="none" w:sz="0" w:space="0" w:color="auto"/>
        <w:left w:val="none" w:sz="0" w:space="0" w:color="auto"/>
        <w:bottom w:val="none" w:sz="0" w:space="0" w:color="auto"/>
        <w:right w:val="none" w:sz="0" w:space="0" w:color="auto"/>
      </w:divBdr>
    </w:div>
    <w:div w:id="1657873658">
      <w:bodyDiv w:val="1"/>
      <w:marLeft w:val="0"/>
      <w:marRight w:val="0"/>
      <w:marTop w:val="0"/>
      <w:marBottom w:val="0"/>
      <w:divBdr>
        <w:top w:val="none" w:sz="0" w:space="0" w:color="auto"/>
        <w:left w:val="none" w:sz="0" w:space="0" w:color="auto"/>
        <w:bottom w:val="none" w:sz="0" w:space="0" w:color="auto"/>
        <w:right w:val="none" w:sz="0" w:space="0" w:color="auto"/>
      </w:divBdr>
    </w:div>
    <w:div w:id="1743527792">
      <w:bodyDiv w:val="1"/>
      <w:marLeft w:val="0"/>
      <w:marRight w:val="0"/>
      <w:marTop w:val="0"/>
      <w:marBottom w:val="0"/>
      <w:divBdr>
        <w:top w:val="none" w:sz="0" w:space="0" w:color="auto"/>
        <w:left w:val="none" w:sz="0" w:space="0" w:color="auto"/>
        <w:bottom w:val="none" w:sz="0" w:space="0" w:color="auto"/>
        <w:right w:val="none" w:sz="0" w:space="0" w:color="auto"/>
      </w:divBdr>
      <w:divsChild>
        <w:div w:id="1768650248">
          <w:marLeft w:val="0"/>
          <w:marRight w:val="0"/>
          <w:marTop w:val="0"/>
          <w:marBottom w:val="0"/>
          <w:divBdr>
            <w:top w:val="none" w:sz="0" w:space="0" w:color="auto"/>
            <w:left w:val="none" w:sz="0" w:space="0" w:color="auto"/>
            <w:bottom w:val="none" w:sz="0" w:space="0" w:color="auto"/>
            <w:right w:val="none" w:sz="0" w:space="0" w:color="auto"/>
          </w:divBdr>
          <w:divsChild>
            <w:div w:id="1490051784">
              <w:marLeft w:val="0"/>
              <w:marRight w:val="0"/>
              <w:marTop w:val="216"/>
              <w:marBottom w:val="0"/>
              <w:divBdr>
                <w:top w:val="dashed" w:sz="6" w:space="0" w:color="auto"/>
                <w:left w:val="none" w:sz="0" w:space="0" w:color="auto"/>
                <w:bottom w:val="none" w:sz="0" w:space="0" w:color="auto"/>
                <w:right w:val="none" w:sz="0" w:space="0" w:color="auto"/>
              </w:divBdr>
              <w:divsChild>
                <w:div w:id="515852359">
                  <w:marLeft w:val="0"/>
                  <w:marRight w:val="0"/>
                  <w:marTop w:val="0"/>
                  <w:marBottom w:val="0"/>
                  <w:divBdr>
                    <w:top w:val="none" w:sz="0" w:space="0" w:color="auto"/>
                    <w:left w:val="none" w:sz="0" w:space="0" w:color="auto"/>
                    <w:bottom w:val="none" w:sz="0" w:space="0" w:color="auto"/>
                    <w:right w:val="none" w:sz="0" w:space="0" w:color="auto"/>
                  </w:divBdr>
                </w:div>
              </w:divsChild>
            </w:div>
            <w:div w:id="1309364412">
              <w:marLeft w:val="0"/>
              <w:marRight w:val="0"/>
              <w:marTop w:val="216"/>
              <w:marBottom w:val="0"/>
              <w:divBdr>
                <w:top w:val="dashed" w:sz="6" w:space="0" w:color="auto"/>
                <w:left w:val="none" w:sz="0" w:space="0" w:color="auto"/>
                <w:bottom w:val="none" w:sz="0" w:space="0" w:color="auto"/>
                <w:right w:val="none" w:sz="0" w:space="0" w:color="auto"/>
              </w:divBdr>
            </w:div>
          </w:divsChild>
        </w:div>
        <w:div w:id="1831557251">
          <w:marLeft w:val="0"/>
          <w:marRight w:val="0"/>
          <w:marTop w:val="0"/>
          <w:marBottom w:val="0"/>
          <w:divBdr>
            <w:top w:val="none" w:sz="0" w:space="0" w:color="auto"/>
            <w:left w:val="none" w:sz="0" w:space="0" w:color="auto"/>
            <w:bottom w:val="none" w:sz="0" w:space="0" w:color="auto"/>
            <w:right w:val="none" w:sz="0" w:space="0" w:color="auto"/>
          </w:divBdr>
          <w:divsChild>
            <w:div w:id="1523670659">
              <w:marLeft w:val="0"/>
              <w:marRight w:val="0"/>
              <w:marTop w:val="0"/>
              <w:marBottom w:val="0"/>
              <w:divBdr>
                <w:top w:val="none" w:sz="0" w:space="0" w:color="auto"/>
                <w:left w:val="none" w:sz="0" w:space="0" w:color="auto"/>
                <w:bottom w:val="none" w:sz="0" w:space="0" w:color="auto"/>
                <w:right w:val="none" w:sz="0" w:space="0" w:color="auto"/>
              </w:divBdr>
              <w:divsChild>
                <w:div w:id="21436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6785">
      <w:bodyDiv w:val="1"/>
      <w:marLeft w:val="0"/>
      <w:marRight w:val="0"/>
      <w:marTop w:val="0"/>
      <w:marBottom w:val="0"/>
      <w:divBdr>
        <w:top w:val="none" w:sz="0" w:space="0" w:color="auto"/>
        <w:left w:val="none" w:sz="0" w:space="0" w:color="auto"/>
        <w:bottom w:val="none" w:sz="0" w:space="0" w:color="auto"/>
        <w:right w:val="none" w:sz="0" w:space="0" w:color="auto"/>
      </w:divBdr>
      <w:divsChild>
        <w:div w:id="559756819">
          <w:marLeft w:val="0"/>
          <w:marRight w:val="0"/>
          <w:marTop w:val="0"/>
          <w:marBottom w:val="0"/>
          <w:divBdr>
            <w:top w:val="none" w:sz="0" w:space="0" w:color="auto"/>
            <w:left w:val="none" w:sz="0" w:space="0" w:color="auto"/>
            <w:bottom w:val="none" w:sz="0" w:space="0" w:color="auto"/>
            <w:right w:val="none" w:sz="0" w:space="0" w:color="auto"/>
          </w:divBdr>
        </w:div>
        <w:div w:id="1572496774">
          <w:marLeft w:val="0"/>
          <w:marRight w:val="0"/>
          <w:marTop w:val="0"/>
          <w:marBottom w:val="0"/>
          <w:divBdr>
            <w:top w:val="none" w:sz="0" w:space="0" w:color="auto"/>
            <w:left w:val="none" w:sz="0" w:space="0" w:color="auto"/>
            <w:bottom w:val="none" w:sz="0" w:space="0" w:color="auto"/>
            <w:right w:val="none" w:sz="0" w:space="0" w:color="auto"/>
          </w:divBdr>
        </w:div>
        <w:div w:id="833449759">
          <w:marLeft w:val="0"/>
          <w:marRight w:val="0"/>
          <w:marTop w:val="0"/>
          <w:marBottom w:val="0"/>
          <w:divBdr>
            <w:top w:val="none" w:sz="0" w:space="0" w:color="auto"/>
            <w:left w:val="none" w:sz="0" w:space="0" w:color="auto"/>
            <w:bottom w:val="none" w:sz="0" w:space="0" w:color="auto"/>
            <w:right w:val="none" w:sz="0" w:space="0" w:color="auto"/>
          </w:divBdr>
        </w:div>
        <w:div w:id="1269704954">
          <w:marLeft w:val="0"/>
          <w:marRight w:val="0"/>
          <w:marTop w:val="0"/>
          <w:marBottom w:val="0"/>
          <w:divBdr>
            <w:top w:val="none" w:sz="0" w:space="0" w:color="auto"/>
            <w:left w:val="none" w:sz="0" w:space="0" w:color="auto"/>
            <w:bottom w:val="none" w:sz="0" w:space="0" w:color="auto"/>
            <w:right w:val="none" w:sz="0" w:space="0" w:color="auto"/>
          </w:divBdr>
        </w:div>
        <w:div w:id="846675920">
          <w:marLeft w:val="0"/>
          <w:marRight w:val="0"/>
          <w:marTop w:val="0"/>
          <w:marBottom w:val="0"/>
          <w:divBdr>
            <w:top w:val="none" w:sz="0" w:space="0" w:color="auto"/>
            <w:left w:val="none" w:sz="0" w:space="0" w:color="auto"/>
            <w:bottom w:val="none" w:sz="0" w:space="0" w:color="auto"/>
            <w:right w:val="none" w:sz="0" w:space="0" w:color="auto"/>
          </w:divBdr>
        </w:div>
        <w:div w:id="1953244118">
          <w:marLeft w:val="0"/>
          <w:marRight w:val="0"/>
          <w:marTop w:val="0"/>
          <w:marBottom w:val="0"/>
          <w:divBdr>
            <w:top w:val="none" w:sz="0" w:space="0" w:color="auto"/>
            <w:left w:val="none" w:sz="0" w:space="0" w:color="auto"/>
            <w:bottom w:val="none" w:sz="0" w:space="0" w:color="auto"/>
            <w:right w:val="none" w:sz="0" w:space="0" w:color="auto"/>
          </w:divBdr>
        </w:div>
        <w:div w:id="827021072">
          <w:marLeft w:val="0"/>
          <w:marRight w:val="0"/>
          <w:marTop w:val="0"/>
          <w:marBottom w:val="0"/>
          <w:divBdr>
            <w:top w:val="none" w:sz="0" w:space="0" w:color="auto"/>
            <w:left w:val="none" w:sz="0" w:space="0" w:color="auto"/>
            <w:bottom w:val="none" w:sz="0" w:space="0" w:color="auto"/>
            <w:right w:val="none" w:sz="0" w:space="0" w:color="auto"/>
          </w:divBdr>
        </w:div>
        <w:div w:id="1958682358">
          <w:marLeft w:val="0"/>
          <w:marRight w:val="0"/>
          <w:marTop w:val="0"/>
          <w:marBottom w:val="0"/>
          <w:divBdr>
            <w:top w:val="none" w:sz="0" w:space="0" w:color="auto"/>
            <w:left w:val="none" w:sz="0" w:space="0" w:color="auto"/>
            <w:bottom w:val="none" w:sz="0" w:space="0" w:color="auto"/>
            <w:right w:val="none" w:sz="0" w:space="0" w:color="auto"/>
          </w:divBdr>
        </w:div>
        <w:div w:id="476579539">
          <w:marLeft w:val="0"/>
          <w:marRight w:val="0"/>
          <w:marTop w:val="0"/>
          <w:marBottom w:val="0"/>
          <w:divBdr>
            <w:top w:val="none" w:sz="0" w:space="0" w:color="auto"/>
            <w:left w:val="none" w:sz="0" w:space="0" w:color="auto"/>
            <w:bottom w:val="none" w:sz="0" w:space="0" w:color="auto"/>
            <w:right w:val="none" w:sz="0" w:space="0" w:color="auto"/>
          </w:divBdr>
        </w:div>
        <w:div w:id="355272268">
          <w:marLeft w:val="0"/>
          <w:marRight w:val="0"/>
          <w:marTop w:val="0"/>
          <w:marBottom w:val="0"/>
          <w:divBdr>
            <w:top w:val="none" w:sz="0" w:space="0" w:color="auto"/>
            <w:left w:val="none" w:sz="0" w:space="0" w:color="auto"/>
            <w:bottom w:val="none" w:sz="0" w:space="0" w:color="auto"/>
            <w:right w:val="none" w:sz="0" w:space="0" w:color="auto"/>
          </w:divBdr>
        </w:div>
        <w:div w:id="957685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s.gov/medicare/payment/part-b-drugs/asp-pricing-fi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ernalhealth.com/wp-content/uploads/2022/10/eternalHealth_MA-Part-B-PA-List-eff-1-1-2025.pdf" TargetMode="External"/><Relationship Id="rId5" Type="http://schemas.openxmlformats.org/officeDocument/2006/relationships/styles" Target="styles.xml"/><Relationship Id="rId10" Type="http://schemas.openxmlformats.org/officeDocument/2006/relationships/hyperlink" Target="http://www.cms.gov/medicare-coverage-database/view/lcd.aspx?lcdid=35026&amp;ver=75&amp;keyword=rituximab&amp;keywordType=starts&amp;areaId=all&amp;docType=NCA,CAL,NCD,MEDCAC,TA,MCD,6,3,5,1,F,P&amp;contractOption=all&amp;sortBy=relevance&amp;bc=1" TargetMode="External"/><Relationship Id="rId4" Type="http://schemas.openxmlformats.org/officeDocument/2006/relationships/numbering" Target="numbering.xml"/><Relationship Id="rId9" Type="http://schemas.openxmlformats.org/officeDocument/2006/relationships/hyperlink" Target="https://rxadvance.carewebqi.com/GuidelineViewer.aspx/cver28.0/ac/ac04_069.htm?args=AQAAANCMnd8BFdERjHoAwE_Cl-sBAAAAtogmHFeQDkyCDKJTPYzHqAQAAAACAAAAAAAQZgAAAAEAACAAAADsMrP6dwCeEIGay0N2BlSlUlpb0qVMcdrnWEAQ4AkmOgAAAAAOgAAAAAIAACAAAAAyS32cHADCTk-7yDwGyKyRp-idY4K0KGS1BVwTziFP1xAAAAAj_6ofMo17n46SQKygZpWJQAAAAI1zHburO6uxo74HCUJ6av_0aDpjrlWR4eTQs6xbAq3zhFia-BqI1ByWtj5wAcC-knrFknJAxuc4JBrJs0ycNkY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e0462-7ad9-4cf3-8274-aa0cc4f080f3">
      <Terms xmlns="http://schemas.microsoft.com/office/infopath/2007/PartnerControls"/>
    </lcf76f155ced4ddcb4097134ff3c332f>
    <TaxCatchAll xmlns="2498f20f-782f-4f87-afd5-421022d6a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7D37D-E0D8-46F7-BEDF-FFBFBD885B46}">
  <ds:schemaRefs>
    <ds:schemaRef ds:uri="http://schemas.microsoft.com/sharepoint/v3/contenttype/forms"/>
  </ds:schemaRefs>
</ds:datastoreItem>
</file>

<file path=customXml/itemProps2.xml><?xml version="1.0" encoding="utf-8"?>
<ds:datastoreItem xmlns:ds="http://schemas.openxmlformats.org/officeDocument/2006/customXml" ds:itemID="{860CF4EE-56B7-4BC8-9965-1CCC54DC1657}">
  <ds:schemaRefs>
    <ds:schemaRef ds:uri="http://schemas.microsoft.com/office/2006/metadata/properties"/>
    <ds:schemaRef ds:uri="http://schemas.microsoft.com/office/infopath/2007/PartnerControls"/>
    <ds:schemaRef ds:uri="http://schemas.microsoft.com/sharepoint/v3"/>
    <ds:schemaRef ds:uri="74ba3640-328d-449a-9f7d-a6e0f48b18e2"/>
    <ds:schemaRef ds:uri="8a5f5284-53ab-4ff8-b83a-40cadec04070"/>
  </ds:schemaRefs>
</ds:datastoreItem>
</file>

<file path=customXml/itemProps3.xml><?xml version="1.0" encoding="utf-8"?>
<ds:datastoreItem xmlns:ds="http://schemas.openxmlformats.org/officeDocument/2006/customXml" ds:itemID="{7C74FCD0-EB06-41F2-96F5-339542517B7D}"/>
</file>

<file path=docProps/app.xml><?xml version="1.0" encoding="utf-8"?>
<Properties xmlns="http://schemas.openxmlformats.org/officeDocument/2006/extended-properties" xmlns:vt="http://schemas.openxmlformats.org/officeDocument/2006/docPropsVTypes">
  <Template>Normal</Template>
  <TotalTime>2</TotalTime>
  <Pages>9</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Cardinal</dc:creator>
  <cp:keywords/>
  <dc:description/>
  <cp:lastModifiedBy>John Vellutato</cp:lastModifiedBy>
  <cp:revision>4</cp:revision>
  <dcterms:created xsi:type="dcterms:W3CDTF">2025-04-09T14:05:00Z</dcterms:created>
  <dcterms:modified xsi:type="dcterms:W3CDTF">2025-07-28T19:26:00Z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0x0101004673728796F1AF49AA5EE7049D0CA2DC</vt:lpwstr>
  </property>
</Properties>
</file>