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D5CF01"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0EE435AD" w:rsidR="00171CC3" w:rsidRPr="00171CC3" w:rsidRDefault="003C7F01"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Trastuzumab</w:t>
      </w:r>
    </w:p>
    <w:p w14:paraId="480C9C92" w14:textId="35DABBA3" w:rsidR="00171CC3" w:rsidRPr="005226EB"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890705">
        <w:rPr>
          <w:rFonts w:ascii="Futura" w:eastAsia="Calibri" w:hAnsi="Futura" w:cs="Calibri"/>
          <w:b/>
          <w:bCs/>
          <w:color w:val="00AEDB"/>
          <w:sz w:val="24"/>
          <w:szCs w:val="24"/>
          <w:lang w:bidi="en-US"/>
        </w:rPr>
        <w:t>UMST-12</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159F81"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5AF5DFDD" w:rsidR="00320403" w:rsidRDefault="00890705"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4C6E1A37" w:rsidR="00320403" w:rsidRDefault="00890705">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06797FBE" w:rsidR="00320403" w:rsidRDefault="00170C53">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65F049D4" w:rsidR="00320403" w:rsidRDefault="0089070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01DDCFB1" w:rsidR="00320403" w:rsidRDefault="0089070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5A44C78A" w:rsidR="00320403" w:rsidRDefault="0089070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6766358F" w:rsidR="00320403" w:rsidRDefault="0089070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73C96090" w:rsidR="00320403" w:rsidRDefault="0089070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10F1AE9B" w:rsidR="00320403" w:rsidRDefault="0089070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170C53" w14:paraId="260225D9"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CE58A85" w14:textId="6CEFC4AE" w:rsidR="00170C53" w:rsidRDefault="00170C5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1CFFE117" w14:textId="6D587DB1" w:rsidR="00170C53" w:rsidRDefault="00170C5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1F6B01DB" w14:textId="30454805" w:rsidR="00170C53" w:rsidRDefault="00170C5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6732E182" w14:textId="77777777" w:rsidR="00170C53" w:rsidRDefault="00170C53">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1A8A1939"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This policy stands to show the criteria for and </w:t>
      </w:r>
      <w:r w:rsidR="00B413BB">
        <w:rPr>
          <w:rFonts w:ascii="Futura" w:eastAsia="Calibri" w:hAnsi="Futura" w:cs="Calibri"/>
          <w:color w:val="000000"/>
          <w:sz w:val="20"/>
          <w:szCs w:val="20"/>
          <w:lang w:bidi="en-US"/>
        </w:rPr>
        <w:t>preferencing</w:t>
      </w:r>
      <w:r w:rsidR="00827A7B">
        <w:rPr>
          <w:rFonts w:ascii="Futura" w:eastAsia="Calibri" w:hAnsi="Futura" w:cs="Calibri"/>
          <w:color w:val="000000"/>
          <w:sz w:val="20"/>
          <w:szCs w:val="20"/>
          <w:lang w:bidi="en-US"/>
        </w:rPr>
        <w:t xml:space="preserve"> agents within the </w:t>
      </w:r>
      <w:r w:rsidR="00171031">
        <w:rPr>
          <w:rFonts w:ascii="Futura" w:eastAsia="Calibri" w:hAnsi="Futura" w:cs="Calibri"/>
          <w:color w:val="000000"/>
          <w:sz w:val="20"/>
          <w:szCs w:val="20"/>
          <w:lang w:bidi="en-US"/>
        </w:rPr>
        <w:t>products of trastuzumab and its biosimilars</w:t>
      </w:r>
      <w:r w:rsidR="00827A7B">
        <w:rPr>
          <w:rFonts w:ascii="Futura" w:eastAsia="Calibri" w:hAnsi="Futura" w:cs="Calibri"/>
          <w:color w:val="000000"/>
          <w:sz w:val="20"/>
          <w:szCs w:val="20"/>
          <w:lang w:bidi="en-US"/>
        </w:rPr>
        <w:t xml:space="preserve">.  At the time of creation of this policy, there are </w:t>
      </w:r>
      <w:r w:rsidR="00956728">
        <w:rPr>
          <w:rFonts w:ascii="Futura" w:eastAsia="Calibri" w:hAnsi="Futura" w:cs="Calibri"/>
          <w:color w:val="000000"/>
          <w:sz w:val="20"/>
          <w:szCs w:val="20"/>
          <w:lang w:bidi="en-US"/>
        </w:rPr>
        <w:t>eight</w:t>
      </w:r>
      <w:r w:rsidR="004B7D63">
        <w:rPr>
          <w:rFonts w:ascii="Futura" w:eastAsia="Calibri" w:hAnsi="Futura" w:cs="Calibri"/>
          <w:color w:val="000000"/>
          <w:sz w:val="20"/>
          <w:szCs w:val="20"/>
          <w:lang w:bidi="en-US"/>
        </w:rPr>
        <w:t xml:space="preserve"> agents to be reviewed: </w:t>
      </w:r>
      <w:r w:rsidR="00225DEA">
        <w:rPr>
          <w:rFonts w:ascii="Futura" w:eastAsia="Calibri" w:hAnsi="Futura" w:cs="Calibri"/>
          <w:color w:val="000000"/>
          <w:sz w:val="20"/>
          <w:szCs w:val="20"/>
          <w:lang w:bidi="en-US"/>
        </w:rPr>
        <w:t>Kanjinti</w:t>
      </w:r>
      <w:r w:rsidR="00F36E89">
        <w:rPr>
          <w:rFonts w:ascii="Futura" w:eastAsia="Calibri" w:hAnsi="Futura" w:cs="Calibri"/>
          <w:color w:val="000000"/>
          <w:sz w:val="20"/>
          <w:szCs w:val="20"/>
          <w:lang w:bidi="en-US"/>
        </w:rPr>
        <w:t xml:space="preserve"> (trastuzumab-anns)-</w:t>
      </w:r>
      <w:r w:rsidR="00337661">
        <w:rPr>
          <w:rFonts w:ascii="Futura" w:eastAsia="Calibri" w:hAnsi="Futura" w:cs="Calibri"/>
          <w:color w:val="000000"/>
          <w:sz w:val="20"/>
          <w:szCs w:val="20"/>
          <w:lang w:bidi="en-US"/>
        </w:rPr>
        <w:t>Q5117</w:t>
      </w:r>
      <w:r w:rsidR="00225DEA">
        <w:rPr>
          <w:rFonts w:ascii="Futura" w:eastAsia="Calibri" w:hAnsi="Futura" w:cs="Calibri"/>
          <w:color w:val="000000"/>
          <w:sz w:val="20"/>
          <w:szCs w:val="20"/>
          <w:lang w:bidi="en-US"/>
        </w:rPr>
        <w:t>, Trazimera</w:t>
      </w:r>
      <w:r w:rsidR="00337661">
        <w:rPr>
          <w:rFonts w:ascii="Futura" w:eastAsia="Calibri" w:hAnsi="Futura" w:cs="Calibri"/>
          <w:color w:val="000000"/>
          <w:sz w:val="20"/>
          <w:szCs w:val="20"/>
          <w:lang w:bidi="en-US"/>
        </w:rPr>
        <w:t xml:space="preserve"> (</w:t>
      </w:r>
      <w:r w:rsidR="007D2D36">
        <w:rPr>
          <w:rFonts w:ascii="Futura" w:eastAsia="Calibri" w:hAnsi="Futura" w:cs="Calibri"/>
          <w:color w:val="000000"/>
          <w:sz w:val="20"/>
          <w:szCs w:val="20"/>
          <w:lang w:bidi="en-US"/>
        </w:rPr>
        <w:t>trastuzumab-qyyp</w:t>
      </w:r>
      <w:r w:rsidR="00337661">
        <w:rPr>
          <w:rFonts w:ascii="Futura" w:eastAsia="Calibri" w:hAnsi="Futura" w:cs="Calibri"/>
          <w:color w:val="000000"/>
          <w:sz w:val="20"/>
          <w:szCs w:val="20"/>
          <w:lang w:bidi="en-US"/>
        </w:rPr>
        <w:t>)-Q5116</w:t>
      </w:r>
      <w:r w:rsidR="00225DEA">
        <w:rPr>
          <w:rFonts w:ascii="Futura" w:eastAsia="Calibri" w:hAnsi="Futura" w:cs="Calibri"/>
          <w:color w:val="000000"/>
          <w:sz w:val="20"/>
          <w:szCs w:val="20"/>
          <w:lang w:bidi="en-US"/>
        </w:rPr>
        <w:t>, Herceptin</w:t>
      </w:r>
      <w:r w:rsidR="00F57F03">
        <w:rPr>
          <w:rFonts w:ascii="Futura" w:eastAsia="Calibri" w:hAnsi="Futura" w:cs="Calibri"/>
          <w:color w:val="000000"/>
          <w:sz w:val="20"/>
          <w:szCs w:val="20"/>
          <w:lang w:bidi="en-US"/>
        </w:rPr>
        <w:t xml:space="preserve"> (trastuzumab)-J9355</w:t>
      </w:r>
      <w:r w:rsidR="00225DEA">
        <w:rPr>
          <w:rFonts w:ascii="Futura" w:eastAsia="Calibri" w:hAnsi="Futura" w:cs="Calibri"/>
          <w:color w:val="000000"/>
          <w:sz w:val="20"/>
          <w:szCs w:val="20"/>
          <w:lang w:bidi="en-US"/>
        </w:rPr>
        <w:t>, Herceptin Hylecta</w:t>
      </w:r>
      <w:r w:rsidR="00337661">
        <w:rPr>
          <w:rFonts w:ascii="Futura" w:eastAsia="Calibri" w:hAnsi="Futura" w:cs="Calibri"/>
          <w:color w:val="000000"/>
          <w:sz w:val="20"/>
          <w:szCs w:val="20"/>
          <w:lang w:bidi="en-US"/>
        </w:rPr>
        <w:t xml:space="preserve"> (</w:t>
      </w:r>
      <w:r w:rsidR="00171031">
        <w:rPr>
          <w:rFonts w:ascii="Futura" w:eastAsia="Calibri" w:hAnsi="Futura" w:cs="Calibri"/>
          <w:color w:val="000000"/>
          <w:sz w:val="20"/>
          <w:szCs w:val="20"/>
          <w:lang w:bidi="en-US"/>
        </w:rPr>
        <w:t>trastuzumab and hyaluronidase-oysk</w:t>
      </w:r>
      <w:r w:rsidR="00337661">
        <w:rPr>
          <w:rFonts w:ascii="Futura" w:eastAsia="Calibri" w:hAnsi="Futura" w:cs="Calibri"/>
          <w:color w:val="000000"/>
          <w:sz w:val="20"/>
          <w:szCs w:val="20"/>
          <w:lang w:bidi="en-US"/>
        </w:rPr>
        <w:t>)-J9356</w:t>
      </w:r>
      <w:r w:rsidR="00225DEA">
        <w:rPr>
          <w:rFonts w:ascii="Futura" w:eastAsia="Calibri" w:hAnsi="Futura" w:cs="Calibri"/>
          <w:color w:val="000000"/>
          <w:sz w:val="20"/>
          <w:szCs w:val="20"/>
          <w:lang w:bidi="en-US"/>
        </w:rPr>
        <w:t>, Herzuma</w:t>
      </w:r>
      <w:r w:rsidR="00337661">
        <w:rPr>
          <w:rFonts w:ascii="Futura" w:eastAsia="Calibri" w:hAnsi="Futura" w:cs="Calibri"/>
          <w:color w:val="000000"/>
          <w:sz w:val="20"/>
          <w:szCs w:val="20"/>
          <w:lang w:bidi="en-US"/>
        </w:rPr>
        <w:t xml:space="preserve"> (</w:t>
      </w:r>
      <w:r w:rsidR="007D2D36">
        <w:rPr>
          <w:rFonts w:ascii="Futura" w:eastAsia="Calibri" w:hAnsi="Futura" w:cs="Calibri"/>
          <w:color w:val="000000"/>
          <w:sz w:val="20"/>
          <w:szCs w:val="20"/>
          <w:lang w:bidi="en-US"/>
        </w:rPr>
        <w:t>trastuzumab-pkrb</w:t>
      </w:r>
      <w:r w:rsidR="00955165">
        <w:rPr>
          <w:rFonts w:ascii="Futura" w:eastAsia="Calibri" w:hAnsi="Futura" w:cs="Calibri"/>
          <w:color w:val="000000"/>
          <w:sz w:val="20"/>
          <w:szCs w:val="20"/>
          <w:lang w:bidi="en-US"/>
        </w:rPr>
        <w:t>)-Q5113</w:t>
      </w:r>
      <w:r w:rsidR="00225DEA">
        <w:rPr>
          <w:rFonts w:ascii="Futura" w:eastAsia="Calibri" w:hAnsi="Futura" w:cs="Calibri"/>
          <w:color w:val="000000"/>
          <w:sz w:val="20"/>
          <w:szCs w:val="20"/>
          <w:lang w:bidi="en-US"/>
        </w:rPr>
        <w:t>, Ogivri</w:t>
      </w:r>
      <w:r w:rsidR="00955165">
        <w:rPr>
          <w:rFonts w:ascii="Futura" w:eastAsia="Calibri" w:hAnsi="Futura" w:cs="Calibri"/>
          <w:color w:val="000000"/>
          <w:sz w:val="20"/>
          <w:szCs w:val="20"/>
          <w:lang w:bidi="en-US"/>
        </w:rPr>
        <w:t xml:space="preserve"> (</w:t>
      </w:r>
      <w:r w:rsidR="007D2D36">
        <w:rPr>
          <w:rFonts w:ascii="Futura" w:eastAsia="Calibri" w:hAnsi="Futura" w:cs="Calibri"/>
          <w:color w:val="000000"/>
          <w:sz w:val="20"/>
          <w:szCs w:val="20"/>
          <w:lang w:bidi="en-US"/>
        </w:rPr>
        <w:t>trastuzumab-</w:t>
      </w:r>
      <w:r w:rsidR="00B413BB">
        <w:rPr>
          <w:rFonts w:ascii="Futura" w:eastAsia="Calibri" w:hAnsi="Futura" w:cs="Calibri"/>
          <w:color w:val="000000"/>
          <w:sz w:val="20"/>
          <w:szCs w:val="20"/>
          <w:lang w:bidi="en-US"/>
        </w:rPr>
        <w:t>dkst</w:t>
      </w:r>
      <w:r w:rsidR="00955165">
        <w:rPr>
          <w:rFonts w:ascii="Futura" w:eastAsia="Calibri" w:hAnsi="Futura" w:cs="Calibri"/>
          <w:color w:val="000000"/>
          <w:sz w:val="20"/>
          <w:szCs w:val="20"/>
          <w:lang w:bidi="en-US"/>
        </w:rPr>
        <w:t>)-Q5114</w:t>
      </w:r>
      <w:r w:rsidR="00225DEA">
        <w:rPr>
          <w:rFonts w:ascii="Futura" w:eastAsia="Calibri" w:hAnsi="Futura" w:cs="Calibri"/>
          <w:color w:val="000000"/>
          <w:sz w:val="20"/>
          <w:szCs w:val="20"/>
          <w:lang w:bidi="en-US"/>
        </w:rPr>
        <w:t>, Ontruzant</w:t>
      </w:r>
      <w:r w:rsidR="00955165">
        <w:rPr>
          <w:rFonts w:ascii="Futura" w:eastAsia="Calibri" w:hAnsi="Futura" w:cs="Calibri"/>
          <w:color w:val="000000"/>
          <w:sz w:val="20"/>
          <w:szCs w:val="20"/>
          <w:lang w:bidi="en-US"/>
        </w:rPr>
        <w:t xml:space="preserve"> (</w:t>
      </w:r>
      <w:r w:rsidR="00B413BB">
        <w:rPr>
          <w:rFonts w:ascii="Futura" w:eastAsia="Calibri" w:hAnsi="Futura" w:cs="Calibri"/>
          <w:color w:val="000000"/>
          <w:sz w:val="20"/>
          <w:szCs w:val="20"/>
          <w:lang w:bidi="en-US"/>
        </w:rPr>
        <w:t>trastuzumab-dttb</w:t>
      </w:r>
      <w:r w:rsidR="00955165">
        <w:rPr>
          <w:rFonts w:ascii="Futura" w:eastAsia="Calibri" w:hAnsi="Futura" w:cs="Calibri"/>
          <w:color w:val="000000"/>
          <w:sz w:val="20"/>
          <w:szCs w:val="20"/>
          <w:lang w:bidi="en-US"/>
        </w:rPr>
        <w:t>)-Q5112</w:t>
      </w:r>
      <w:r w:rsidR="00225DEA">
        <w:rPr>
          <w:rFonts w:ascii="Futura" w:eastAsia="Calibri" w:hAnsi="Futura" w:cs="Calibri"/>
          <w:color w:val="000000"/>
          <w:sz w:val="20"/>
          <w:szCs w:val="20"/>
          <w:lang w:bidi="en-US"/>
        </w:rPr>
        <w:t xml:space="preserve">, </w:t>
      </w:r>
      <w:r w:rsidR="00E412FB">
        <w:rPr>
          <w:rFonts w:ascii="Futura" w:eastAsia="Calibri" w:hAnsi="Futura" w:cs="Calibri"/>
          <w:color w:val="000000"/>
          <w:sz w:val="20"/>
          <w:szCs w:val="20"/>
          <w:lang w:bidi="en-US"/>
        </w:rPr>
        <w:t xml:space="preserve">and </w:t>
      </w:r>
      <w:r w:rsidR="00225DEA">
        <w:rPr>
          <w:rFonts w:ascii="Futura" w:eastAsia="Calibri" w:hAnsi="Futura" w:cs="Calibri"/>
          <w:color w:val="000000"/>
          <w:sz w:val="20"/>
          <w:szCs w:val="20"/>
          <w:lang w:bidi="en-US"/>
        </w:rPr>
        <w:t>Hercessi</w:t>
      </w:r>
      <w:r w:rsidR="00955165">
        <w:rPr>
          <w:rFonts w:ascii="Futura" w:eastAsia="Calibri" w:hAnsi="Futura" w:cs="Calibri"/>
          <w:color w:val="000000"/>
          <w:sz w:val="20"/>
          <w:szCs w:val="20"/>
          <w:lang w:bidi="en-US"/>
        </w:rPr>
        <w:t xml:space="preserve"> (</w:t>
      </w:r>
      <w:r w:rsidR="00B413BB">
        <w:rPr>
          <w:rFonts w:ascii="Futura" w:eastAsia="Calibri" w:hAnsi="Futura" w:cs="Calibri"/>
          <w:color w:val="000000"/>
          <w:sz w:val="20"/>
          <w:szCs w:val="20"/>
          <w:lang w:bidi="en-US"/>
        </w:rPr>
        <w:t>trastuzumab-strf</w:t>
      </w:r>
      <w:r w:rsidR="00955165">
        <w:rPr>
          <w:rFonts w:ascii="Futura" w:eastAsia="Calibri" w:hAnsi="Futura" w:cs="Calibri"/>
          <w:color w:val="000000"/>
          <w:sz w:val="20"/>
          <w:szCs w:val="20"/>
          <w:lang w:bidi="en-US"/>
        </w:rPr>
        <w:t>)-Q5146</w:t>
      </w:r>
      <w:r w:rsidR="004807F3">
        <w:rPr>
          <w:rFonts w:ascii="Futura" w:eastAsia="Calibri" w:hAnsi="Futura" w:cs="Calibri"/>
          <w:color w:val="000000"/>
          <w:sz w:val="20"/>
          <w:szCs w:val="20"/>
          <w:lang w:bidi="en-US"/>
        </w:rPr>
        <w:t xml:space="preserve">.  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5614D59C" w14:textId="77777777" w:rsidR="00102484" w:rsidRDefault="00102484" w:rsidP="00554794">
      <w:pPr>
        <w:spacing w:after="0" w:line="240" w:lineRule="auto"/>
        <w:jc w:val="both"/>
        <w:rPr>
          <w:rFonts w:ascii="Futura" w:eastAsia="Calibri" w:hAnsi="Futura" w:cs="Calibri"/>
          <w:color w:val="000000"/>
          <w:sz w:val="20"/>
          <w:szCs w:val="20"/>
          <w:lang w:bidi="en-US"/>
        </w:rPr>
      </w:pPr>
    </w:p>
    <w:p w14:paraId="3A9E80F8" w14:textId="77777777" w:rsidR="00102484" w:rsidRDefault="00102484" w:rsidP="00554794">
      <w:pPr>
        <w:spacing w:after="0" w:line="240" w:lineRule="auto"/>
        <w:jc w:val="both"/>
        <w:rPr>
          <w:rFonts w:ascii="Futura" w:eastAsia="Calibri" w:hAnsi="Futura" w:cs="Calibri"/>
          <w:color w:val="000000"/>
          <w:sz w:val="20"/>
          <w:szCs w:val="20"/>
          <w:lang w:bidi="en-US"/>
        </w:rPr>
      </w:pPr>
    </w:p>
    <w:p w14:paraId="7341BF2F" w14:textId="77777777" w:rsidR="00102484" w:rsidRDefault="00102484" w:rsidP="00554794">
      <w:pPr>
        <w:spacing w:after="0" w:line="240" w:lineRule="auto"/>
        <w:jc w:val="both"/>
        <w:rPr>
          <w:rFonts w:ascii="Futura" w:eastAsia="Calibri" w:hAnsi="Futura" w:cs="Calibri"/>
          <w:color w:val="000000"/>
          <w:sz w:val="20"/>
          <w:szCs w:val="20"/>
          <w:lang w:bidi="en-US"/>
        </w:rPr>
      </w:pPr>
    </w:p>
    <w:p w14:paraId="73057E29" w14:textId="77777777" w:rsidR="00102484" w:rsidRDefault="00102484" w:rsidP="00554794">
      <w:pPr>
        <w:spacing w:after="0" w:line="240" w:lineRule="auto"/>
        <w:jc w:val="both"/>
        <w:rPr>
          <w:rFonts w:ascii="Futura" w:eastAsia="Calibri" w:hAnsi="Futura" w:cs="Calibri"/>
          <w:color w:val="000000"/>
          <w:sz w:val="20"/>
          <w:szCs w:val="20"/>
          <w:lang w:bidi="en-US"/>
        </w:rPr>
      </w:pPr>
    </w:p>
    <w:p w14:paraId="25C527D5" w14:textId="77777777" w:rsidR="00102484" w:rsidRDefault="00102484" w:rsidP="00554794">
      <w:pPr>
        <w:spacing w:after="0" w:line="240" w:lineRule="auto"/>
        <w:jc w:val="both"/>
        <w:rPr>
          <w:rFonts w:ascii="Futura" w:eastAsia="Calibri" w:hAnsi="Futura" w:cs="Calibri"/>
          <w:color w:val="000000"/>
          <w:sz w:val="20"/>
          <w:szCs w:val="20"/>
          <w:lang w:bidi="en-US"/>
        </w:rPr>
      </w:pPr>
    </w:p>
    <w:p w14:paraId="69B8395B" w14:textId="77777777" w:rsidR="00102484" w:rsidRDefault="00102484" w:rsidP="00554794">
      <w:pPr>
        <w:spacing w:after="0" w:line="240" w:lineRule="auto"/>
        <w:jc w:val="both"/>
        <w:rPr>
          <w:rFonts w:ascii="Futura" w:eastAsia="Calibri" w:hAnsi="Futura" w:cs="Calibri"/>
          <w:color w:val="000000"/>
          <w:sz w:val="20"/>
          <w:szCs w:val="20"/>
          <w:lang w:bidi="en-US"/>
        </w:rPr>
      </w:pPr>
    </w:p>
    <w:p w14:paraId="70964C31" w14:textId="77777777" w:rsidR="00102484" w:rsidRDefault="00102484" w:rsidP="00554794">
      <w:pPr>
        <w:spacing w:after="0" w:line="240" w:lineRule="auto"/>
        <w:jc w:val="both"/>
        <w:rPr>
          <w:rFonts w:ascii="Futura" w:eastAsia="Calibri" w:hAnsi="Futura" w:cs="Calibri"/>
          <w:color w:val="000000"/>
          <w:sz w:val="20"/>
          <w:szCs w:val="20"/>
          <w:lang w:bidi="en-US"/>
        </w:rPr>
      </w:pPr>
    </w:p>
    <w:p w14:paraId="50065A4F" w14:textId="77777777" w:rsidR="00102484" w:rsidRDefault="00102484" w:rsidP="00102484">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1EC37606" w14:textId="77777777" w:rsidR="00102484" w:rsidRDefault="00102484" w:rsidP="00102484">
      <w:pPr>
        <w:spacing w:after="0" w:line="240" w:lineRule="auto"/>
        <w:jc w:val="both"/>
        <w:rPr>
          <w:rFonts w:ascii="Futura" w:hAnsi="Futura"/>
          <w:b/>
          <w:bCs/>
          <w:color w:val="00AEDB"/>
          <w:sz w:val="24"/>
          <w:szCs w:val="24"/>
        </w:rPr>
      </w:pPr>
    </w:p>
    <w:p w14:paraId="4B93782E" w14:textId="77777777" w:rsidR="00102484" w:rsidRDefault="00102484" w:rsidP="00102484">
      <w:pPr>
        <w:pStyle w:val="ListParagraph"/>
        <w:numPr>
          <w:ilvl w:val="0"/>
          <w:numId w:val="4"/>
        </w:numPr>
        <w:spacing w:after="0" w:line="240" w:lineRule="auto"/>
        <w:jc w:val="both"/>
        <w:rPr>
          <w:rFonts w:ascii="Futura" w:hAnsi="Futura"/>
          <w:b/>
          <w:bCs/>
          <w:color w:val="00AEDB"/>
          <w:sz w:val="24"/>
          <w:szCs w:val="24"/>
        </w:rPr>
      </w:pPr>
      <w:r>
        <w:rPr>
          <w:rFonts w:ascii="Futura" w:hAnsi="Futura"/>
          <w:b/>
          <w:bCs/>
          <w:color w:val="00AEDB"/>
          <w:sz w:val="24"/>
          <w:szCs w:val="24"/>
        </w:rPr>
        <w:t>All agents injected in the office will require prior authorization review for medical necessity</w:t>
      </w:r>
    </w:p>
    <w:p w14:paraId="737658CC" w14:textId="27413F68" w:rsidR="00102484" w:rsidRDefault="00102484" w:rsidP="00102484">
      <w:pPr>
        <w:pStyle w:val="ListParagraph"/>
        <w:numPr>
          <w:ilvl w:val="1"/>
          <w:numId w:val="4"/>
        </w:numPr>
        <w:spacing w:after="0" w:line="240" w:lineRule="auto"/>
        <w:jc w:val="both"/>
        <w:rPr>
          <w:rFonts w:ascii="Futura" w:hAnsi="Futura"/>
          <w:b/>
          <w:bCs/>
          <w:color w:val="00AEDB"/>
          <w:sz w:val="24"/>
          <w:szCs w:val="24"/>
        </w:rPr>
      </w:pPr>
      <w:r>
        <w:rPr>
          <w:rFonts w:ascii="Futura" w:hAnsi="Futura"/>
          <w:b/>
          <w:bCs/>
          <w:color w:val="00AEDB"/>
          <w:sz w:val="24"/>
          <w:szCs w:val="24"/>
        </w:rPr>
        <w:t>If the request is for Kanjinti or Trazimera and determined to be medically necessary, it may be approved</w:t>
      </w:r>
    </w:p>
    <w:p w14:paraId="1E396D04" w14:textId="1EC63565" w:rsidR="00102484" w:rsidRDefault="00102484" w:rsidP="00102484">
      <w:pPr>
        <w:pStyle w:val="ListParagraph"/>
        <w:numPr>
          <w:ilvl w:val="1"/>
          <w:numId w:val="4"/>
        </w:numPr>
        <w:spacing w:after="0" w:line="240" w:lineRule="auto"/>
        <w:jc w:val="both"/>
        <w:rPr>
          <w:rFonts w:ascii="Futura" w:hAnsi="Futura"/>
          <w:b/>
          <w:bCs/>
          <w:color w:val="00AEDB"/>
          <w:sz w:val="24"/>
          <w:szCs w:val="24"/>
        </w:rPr>
      </w:pPr>
      <w:r>
        <w:rPr>
          <w:rFonts w:ascii="Futura" w:hAnsi="Futura"/>
          <w:b/>
          <w:bCs/>
          <w:color w:val="00AEDB"/>
          <w:sz w:val="24"/>
          <w:szCs w:val="24"/>
        </w:rPr>
        <w:t xml:space="preserve">If the request is for </w:t>
      </w:r>
      <w:r w:rsidR="001A72F0">
        <w:rPr>
          <w:rFonts w:ascii="Futura" w:hAnsi="Futura"/>
          <w:b/>
          <w:bCs/>
          <w:color w:val="00AEDB"/>
          <w:sz w:val="24"/>
          <w:szCs w:val="24"/>
        </w:rPr>
        <w:t>Herceptin, Herceptin Hylecta, Herzuma, Ogivri, Ontruzant, or Hercessi</w:t>
      </w:r>
      <w:r>
        <w:rPr>
          <w:rFonts w:ascii="Futura" w:hAnsi="Futura"/>
          <w:b/>
          <w:bCs/>
          <w:color w:val="00AEDB"/>
          <w:sz w:val="24"/>
          <w:szCs w:val="24"/>
        </w:rPr>
        <w:t xml:space="preserve"> there must be a history of </w:t>
      </w:r>
      <w:r w:rsidR="001A72F0">
        <w:rPr>
          <w:rFonts w:ascii="Futura" w:hAnsi="Futura"/>
          <w:b/>
          <w:bCs/>
          <w:color w:val="00AEDB"/>
          <w:sz w:val="24"/>
          <w:szCs w:val="24"/>
        </w:rPr>
        <w:t>Kanjinti or Trazimera documented</w:t>
      </w:r>
      <w:r>
        <w:rPr>
          <w:rFonts w:ascii="Futura" w:hAnsi="Futura"/>
          <w:b/>
          <w:bCs/>
          <w:color w:val="00AEDB"/>
          <w:sz w:val="24"/>
          <w:szCs w:val="24"/>
        </w:rPr>
        <w:t xml:space="preserve"> in the medical record and the lack of clinical response to that agent</w:t>
      </w:r>
    </w:p>
    <w:p w14:paraId="1C18034E" w14:textId="77777777" w:rsidR="00102484" w:rsidRDefault="00102484" w:rsidP="00102484">
      <w:pPr>
        <w:pStyle w:val="ListParagraph"/>
        <w:numPr>
          <w:ilvl w:val="0"/>
          <w:numId w:val="4"/>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60437A6F" w14:textId="77777777" w:rsidR="00102484" w:rsidRPr="00732065" w:rsidRDefault="00102484" w:rsidP="00102484">
      <w:pPr>
        <w:pStyle w:val="ListParagraph"/>
        <w:numPr>
          <w:ilvl w:val="1"/>
          <w:numId w:val="4"/>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17BCEFE2" w14:textId="5C40E920" w:rsidR="00102484" w:rsidRDefault="00102484" w:rsidP="00102484">
      <w:pPr>
        <w:pStyle w:val="ListParagraph"/>
        <w:numPr>
          <w:ilvl w:val="1"/>
          <w:numId w:val="4"/>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715331">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464B78BC" w14:textId="77777777" w:rsidR="00102484" w:rsidRPr="00732065" w:rsidRDefault="00102484" w:rsidP="00102484">
      <w:pPr>
        <w:pStyle w:val="ListParagraph"/>
        <w:spacing w:after="0" w:line="240" w:lineRule="auto"/>
        <w:ind w:left="1440"/>
        <w:jc w:val="both"/>
        <w:rPr>
          <w:rFonts w:ascii="Futura" w:hAnsi="Futura"/>
          <w:b/>
          <w:bCs/>
          <w:color w:val="00AEDB"/>
          <w:sz w:val="24"/>
          <w:szCs w:val="24"/>
        </w:rPr>
      </w:pPr>
    </w:p>
    <w:p w14:paraId="586390A6" w14:textId="77777777" w:rsidR="00102484" w:rsidRDefault="00102484" w:rsidP="00102484">
      <w:p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179BD350" w14:textId="77777777" w:rsidR="00102484" w:rsidRDefault="00102484" w:rsidP="00554794">
      <w:pPr>
        <w:spacing w:after="0" w:line="240" w:lineRule="auto"/>
        <w:jc w:val="both"/>
        <w:rPr>
          <w:rFonts w:ascii="Futura" w:eastAsia="Calibri" w:hAnsi="Futura" w:cs="Calibri"/>
          <w:color w:val="000000"/>
          <w:sz w:val="20"/>
          <w:szCs w:val="20"/>
          <w:lang w:bidi="en-US"/>
        </w:rPr>
      </w:pPr>
    </w:p>
    <w:p w14:paraId="4D085817" w14:textId="2D9A8FD3"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6A4B3F">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17A5F358" w14:textId="77777777" w:rsidR="00323429" w:rsidRDefault="00323429" w:rsidP="00323429">
      <w:pPr>
        <w:spacing w:after="0" w:line="240" w:lineRule="auto"/>
        <w:jc w:val="both"/>
        <w:rPr>
          <w:rFonts w:ascii="Futura" w:eastAsia="Calibri" w:hAnsi="Futura" w:cs="Calibri"/>
          <w:color w:val="000000"/>
          <w:sz w:val="20"/>
          <w:szCs w:val="20"/>
          <w:lang w:bidi="en-US"/>
        </w:rPr>
      </w:pPr>
    </w:p>
    <w:p w14:paraId="73D4569D" w14:textId="77777777" w:rsidR="003E698F" w:rsidRDefault="003E698F" w:rsidP="00320403">
      <w:pPr>
        <w:spacing w:after="0" w:line="240" w:lineRule="auto"/>
        <w:rPr>
          <w:rFonts w:ascii="Futura" w:hAnsi="Futura"/>
          <w:b/>
          <w:bCs/>
          <w:color w:val="00AEDB"/>
          <w:sz w:val="24"/>
          <w:szCs w:val="24"/>
        </w:rPr>
      </w:pPr>
    </w:p>
    <w:p w14:paraId="42E5438B" w14:textId="77777777" w:rsidR="003E698F" w:rsidRDefault="003E698F" w:rsidP="00320403">
      <w:pPr>
        <w:spacing w:after="0" w:line="240" w:lineRule="auto"/>
        <w:rPr>
          <w:rFonts w:ascii="Futura" w:hAnsi="Futura"/>
          <w:b/>
          <w:bCs/>
          <w:color w:val="00AEDB"/>
          <w:sz w:val="24"/>
          <w:szCs w:val="24"/>
        </w:rPr>
      </w:pPr>
    </w:p>
    <w:p w14:paraId="15BDFBEC" w14:textId="340BC730" w:rsidR="00255C58" w:rsidRDefault="00255C58" w:rsidP="00320403">
      <w:pPr>
        <w:spacing w:after="0" w:line="240" w:lineRule="auto"/>
        <w:rPr>
          <w:rFonts w:ascii="Futura" w:hAnsi="Futura"/>
          <w:b/>
          <w:bCs/>
          <w:color w:val="00AEDB"/>
          <w:sz w:val="24"/>
          <w:szCs w:val="24"/>
        </w:rPr>
      </w:pPr>
      <w:r>
        <w:rPr>
          <w:rFonts w:ascii="Futura" w:hAnsi="Futura"/>
          <w:b/>
          <w:bCs/>
          <w:color w:val="00AEDB"/>
          <w:sz w:val="24"/>
          <w:szCs w:val="24"/>
        </w:rPr>
        <w:t>Preferencing:</w:t>
      </w:r>
    </w:p>
    <w:p w14:paraId="366D9618" w14:textId="2AB6092B"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E412FB">
        <w:rPr>
          <w:rFonts w:ascii="Futura" w:hAnsi="Futura"/>
          <w:b/>
          <w:bCs/>
          <w:sz w:val="24"/>
          <w:szCs w:val="24"/>
        </w:rPr>
        <w:t>Kanjinti, Trazimera</w:t>
      </w:r>
    </w:p>
    <w:p w14:paraId="6E9CE643" w14:textId="31F41382"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w:t>
      </w:r>
      <w:r w:rsidR="00E412FB">
        <w:rPr>
          <w:rFonts w:ascii="Futura" w:hAnsi="Futura"/>
          <w:b/>
          <w:bCs/>
          <w:sz w:val="24"/>
          <w:szCs w:val="24"/>
        </w:rPr>
        <w:t>Herceptin, Herceptin Hylecta, Herzuma, Ogivri, Ontruzant, Hercessi</w:t>
      </w:r>
    </w:p>
    <w:p w14:paraId="6CA5A894" w14:textId="77777777" w:rsidR="00255C58" w:rsidRDefault="00255C58"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65EE4548" w14:textId="0332DF6A" w:rsidR="003E1B92" w:rsidRPr="00360FBC" w:rsidRDefault="003E1B92" w:rsidP="00360FBC">
      <w:pPr>
        <w:jc w:val="both"/>
        <w:rPr>
          <w:rFonts w:ascii="Aptos Narrow" w:eastAsia="Times New Roman" w:hAnsi="Aptos Narrow" w:cs="Times New Roman"/>
          <w:color w:val="000000"/>
          <w:kern w:val="0"/>
          <w14:ligatures w14:val="none"/>
        </w:rPr>
      </w:pPr>
      <w:r w:rsidRPr="00467FD5">
        <w:rPr>
          <w:rFonts w:ascii="Futura" w:eastAsia="Calibri" w:hAnsi="Futura" w:cs="Calibri"/>
          <w:b/>
          <w:bCs/>
          <w:color w:val="000000"/>
          <w:sz w:val="20"/>
          <w:szCs w:val="20"/>
          <w:lang w:bidi="en-US"/>
        </w:rPr>
        <w:t xml:space="preserve">HCPCS: </w:t>
      </w:r>
      <w:r w:rsidR="00360FBC" w:rsidRPr="00360FBC">
        <w:rPr>
          <w:rFonts w:ascii="Aptos Narrow" w:eastAsia="Times New Roman" w:hAnsi="Aptos Narrow" w:cs="Times New Roman"/>
          <w:color w:val="000000"/>
          <w:kern w:val="0"/>
          <w14:ligatures w14:val="none"/>
        </w:rPr>
        <w:t>Q5117, Q5118, J9355, J9356, Q5113, Q5114, Q5112, Q5116</w:t>
      </w:r>
    </w:p>
    <w:p w14:paraId="4BB8B58D" w14:textId="77777777" w:rsidR="00F01C58" w:rsidRDefault="004C4D99" w:rsidP="00554794">
      <w:pPr>
        <w:spacing w:after="0" w:line="240" w:lineRule="auto"/>
        <w:jc w:val="both"/>
        <w:rPr>
          <w:rFonts w:ascii="Futura" w:eastAsia="Calibri" w:hAnsi="Futura" w:cs="Calibri"/>
          <w:color w:val="000000"/>
          <w:sz w:val="20"/>
          <w:szCs w:val="20"/>
          <w:lang w:bidi="en-US"/>
        </w:rPr>
      </w:pPr>
      <w:r w:rsidRPr="0018090B">
        <w:rPr>
          <w:rFonts w:ascii="Futura" w:eastAsia="Calibri" w:hAnsi="Futura" w:cs="Calibri"/>
          <w:b/>
          <w:bCs/>
          <w:color w:val="000000"/>
          <w:sz w:val="28"/>
          <w:szCs w:val="28"/>
          <w:lang w:bidi="en-US"/>
        </w:rPr>
        <w:t>KANJINTI</w:t>
      </w:r>
      <w:r w:rsidRPr="004C4D99">
        <w:rPr>
          <w:rFonts w:ascii="Futura" w:eastAsia="Calibri" w:hAnsi="Futura" w:cs="Calibri"/>
          <w:color w:val="000000"/>
          <w:sz w:val="20"/>
          <w:szCs w:val="20"/>
          <w:lang w:bidi="en-US"/>
        </w:rPr>
        <w:t xml:space="preserve"> is a HER2/neu receptor antagonist indicated in adults for:</w:t>
      </w:r>
    </w:p>
    <w:p w14:paraId="1C6608E6" w14:textId="77777777" w:rsidR="00F01C58"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the treatment of HER2-overexpressing breast cancer.</w:t>
      </w:r>
    </w:p>
    <w:p w14:paraId="5AA3B0DC" w14:textId="77777777" w:rsidR="00F01C58"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xml:space="preserve">• the treatment of HER2-overexpressing metastatic gastric or gastroesophageal junction adenocarcinoma. </w:t>
      </w:r>
    </w:p>
    <w:p w14:paraId="753A79C0" w14:textId="77777777" w:rsidR="003850AC" w:rsidRDefault="003850AC" w:rsidP="00554794">
      <w:pPr>
        <w:spacing w:after="0" w:line="240" w:lineRule="auto"/>
        <w:jc w:val="both"/>
        <w:rPr>
          <w:rFonts w:ascii="Futura" w:eastAsia="Calibri" w:hAnsi="Futura" w:cs="Calibri"/>
          <w:color w:val="000000"/>
          <w:sz w:val="20"/>
          <w:szCs w:val="20"/>
          <w:lang w:bidi="en-US"/>
        </w:rPr>
      </w:pPr>
    </w:p>
    <w:p w14:paraId="768F4775" w14:textId="77777777" w:rsidR="003850AC"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Select patients for therapy based on an FDA-approved companion diagnostic for a trastuzumab product.</w:t>
      </w:r>
    </w:p>
    <w:p w14:paraId="55954A46" w14:textId="77777777" w:rsidR="003850AC" w:rsidRDefault="003850AC" w:rsidP="00554794">
      <w:pPr>
        <w:spacing w:after="0" w:line="240" w:lineRule="auto"/>
        <w:jc w:val="both"/>
        <w:rPr>
          <w:rFonts w:ascii="Futura" w:eastAsia="Calibri" w:hAnsi="Futura" w:cs="Calibri"/>
          <w:color w:val="000000"/>
          <w:sz w:val="20"/>
          <w:szCs w:val="20"/>
          <w:lang w:bidi="en-US"/>
        </w:rPr>
      </w:pPr>
    </w:p>
    <w:p w14:paraId="4B9746DA" w14:textId="77777777" w:rsidR="003850AC"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DOSAGE AND ADMINISTRATION</w:t>
      </w:r>
    </w:p>
    <w:p w14:paraId="6A8C1EA9" w14:textId="77777777" w:rsidR="00DF6D2E"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lastRenderedPageBreak/>
        <w:t xml:space="preserve">For intravenous (IV) infusion only. Do not administer as an IV push or bolus. KANJINTI has different dosage and administration instructions than subcutaneous trastuzumab products. Do not substitute KANJINTI (trastuzumab-anns) for or with ado-trastuzumab emtansine or fam-trastuzumab deruxtecan. Perform HER2 testing using FDA-approved tests by laboratories with demonstrated proficiency. </w:t>
      </w:r>
    </w:p>
    <w:p w14:paraId="3071CF4B" w14:textId="77777777" w:rsidR="00DF6D2E" w:rsidRDefault="00DF6D2E" w:rsidP="00554794">
      <w:pPr>
        <w:spacing w:after="0" w:line="240" w:lineRule="auto"/>
        <w:jc w:val="both"/>
        <w:rPr>
          <w:rFonts w:ascii="Futura" w:eastAsia="Calibri" w:hAnsi="Futura" w:cs="Calibri"/>
          <w:color w:val="000000"/>
          <w:sz w:val="20"/>
          <w:szCs w:val="20"/>
          <w:lang w:bidi="en-US"/>
        </w:rPr>
      </w:pPr>
    </w:p>
    <w:p w14:paraId="2288EB68" w14:textId="77777777" w:rsidR="00DF6D2E"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xml:space="preserve">Adjuvant Treatment of HER2-Overexpressing Breast Cancer Administer at either: </w:t>
      </w:r>
    </w:p>
    <w:p w14:paraId="2D29193C" w14:textId="77777777" w:rsidR="00F71626"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xml:space="preserve">• Initial dose of 4 mg/kg over 90 minutes IV infusion, then 2 mg/kg over 30 minutes IV infusion weekly for 12 weeks (with paclitaxel or docetaxel) or 18 weeks (with docetaxel and carboplatin). One week after the last weekly dose of KANJINTI, administer 6 mg/kg as </w:t>
      </w:r>
      <w:r w:rsidR="00633F2F" w:rsidRPr="004C4D99">
        <w:rPr>
          <w:rFonts w:ascii="Futura" w:eastAsia="Calibri" w:hAnsi="Futura" w:cs="Calibri"/>
          <w:color w:val="000000"/>
          <w:sz w:val="20"/>
          <w:szCs w:val="20"/>
          <w:lang w:bidi="en-US"/>
        </w:rPr>
        <w:t>IV 52 weeks of therapy</w:t>
      </w:r>
      <w:r w:rsidRPr="004C4D99">
        <w:rPr>
          <w:rFonts w:ascii="Futura" w:eastAsia="Calibri" w:hAnsi="Futura" w:cs="Calibri"/>
          <w:color w:val="000000"/>
          <w:sz w:val="20"/>
          <w:szCs w:val="20"/>
          <w:lang w:bidi="en-US"/>
        </w:rPr>
        <w:t xml:space="preserve">, or </w:t>
      </w:r>
    </w:p>
    <w:p w14:paraId="7F02EE7F" w14:textId="74DBBE86" w:rsidR="004C4ECA"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Initial dose of 8 mg/kg over 90 minutes IV infusion, then 6 mg/kg over 30–90 minutes IV infusion every three weeks for 52 weeks. Metastatic HER2-Overexpressing Breast Cancer</w:t>
      </w:r>
    </w:p>
    <w:p w14:paraId="752397AE" w14:textId="099AA0D2" w:rsidR="004C4ECA"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xml:space="preserve">• Initial dose of 4 mg/kg as a </w:t>
      </w:r>
      <w:r w:rsidR="009D3A65" w:rsidRPr="004C4D99">
        <w:rPr>
          <w:rFonts w:ascii="Futura" w:eastAsia="Calibri" w:hAnsi="Futura" w:cs="Calibri"/>
          <w:color w:val="000000"/>
          <w:sz w:val="20"/>
          <w:szCs w:val="20"/>
          <w:lang w:bidi="en-US"/>
        </w:rPr>
        <w:t>90-minute IV</w:t>
      </w:r>
      <w:r w:rsidRPr="004C4D99">
        <w:rPr>
          <w:rFonts w:ascii="Futura" w:eastAsia="Calibri" w:hAnsi="Futura" w:cs="Calibri"/>
          <w:color w:val="000000"/>
          <w:sz w:val="20"/>
          <w:szCs w:val="20"/>
          <w:lang w:bidi="en-US"/>
        </w:rPr>
        <w:t xml:space="preserve"> infusion followed by subsequent weekly doses of 2 mg/kg as </w:t>
      </w:r>
      <w:r w:rsidR="009D3A65" w:rsidRPr="004C4D99">
        <w:rPr>
          <w:rFonts w:ascii="Futura" w:eastAsia="Calibri" w:hAnsi="Futura" w:cs="Calibri"/>
          <w:color w:val="000000"/>
          <w:sz w:val="20"/>
          <w:szCs w:val="20"/>
          <w:lang w:bidi="en-US"/>
        </w:rPr>
        <w:t>30-minute IV</w:t>
      </w:r>
      <w:r w:rsidRPr="004C4D99">
        <w:rPr>
          <w:rFonts w:ascii="Futura" w:eastAsia="Calibri" w:hAnsi="Futura" w:cs="Calibri"/>
          <w:color w:val="000000"/>
          <w:sz w:val="20"/>
          <w:szCs w:val="20"/>
          <w:lang w:bidi="en-US"/>
        </w:rPr>
        <w:t xml:space="preserve"> infusions. Metastatic HER2-Overexpressing Gastric Cancer</w:t>
      </w:r>
    </w:p>
    <w:p w14:paraId="5780A820" w14:textId="01A6C015" w:rsidR="009815F3" w:rsidRDefault="004C4D99" w:rsidP="00554794">
      <w:pPr>
        <w:spacing w:after="0" w:line="240" w:lineRule="auto"/>
        <w:jc w:val="both"/>
        <w:rPr>
          <w:rFonts w:ascii="Futura" w:eastAsia="Calibri" w:hAnsi="Futura" w:cs="Calibri"/>
          <w:color w:val="000000"/>
          <w:sz w:val="20"/>
          <w:szCs w:val="20"/>
          <w:lang w:bidi="en-US"/>
        </w:rPr>
      </w:pPr>
      <w:r w:rsidRPr="004C4D99">
        <w:rPr>
          <w:rFonts w:ascii="Futura" w:eastAsia="Calibri" w:hAnsi="Futura" w:cs="Calibri"/>
          <w:color w:val="000000"/>
          <w:sz w:val="20"/>
          <w:szCs w:val="20"/>
          <w:lang w:bidi="en-US"/>
        </w:rPr>
        <w:t>• Initial dose of 8 mg/kg over 90 minutes IV infusion, followed by 6 mg/kg over 30 to 90 minutes IV infusion every 3 weeks.</w:t>
      </w:r>
    </w:p>
    <w:p w14:paraId="6685298A" w14:textId="77777777" w:rsidR="000778F1" w:rsidRDefault="000778F1" w:rsidP="00554794">
      <w:pPr>
        <w:spacing w:after="0" w:line="240" w:lineRule="auto"/>
        <w:jc w:val="both"/>
        <w:rPr>
          <w:rFonts w:ascii="Futura" w:eastAsia="Calibri" w:hAnsi="Futura" w:cs="Calibri"/>
          <w:color w:val="000000"/>
          <w:sz w:val="20"/>
          <w:szCs w:val="20"/>
          <w:lang w:bidi="en-US"/>
        </w:rPr>
      </w:pPr>
    </w:p>
    <w:p w14:paraId="51E92FCB" w14:textId="77777777" w:rsidR="00633F2F" w:rsidRDefault="00375509" w:rsidP="00554794">
      <w:pPr>
        <w:spacing w:after="0" w:line="240" w:lineRule="auto"/>
        <w:jc w:val="both"/>
        <w:rPr>
          <w:rFonts w:ascii="Futura" w:eastAsia="Calibri" w:hAnsi="Futura" w:cs="Calibri"/>
          <w:color w:val="000000"/>
          <w:sz w:val="20"/>
          <w:szCs w:val="20"/>
          <w:lang w:bidi="en-US"/>
        </w:rPr>
      </w:pPr>
      <w:r w:rsidRPr="0018090B">
        <w:rPr>
          <w:rFonts w:ascii="Futura" w:eastAsia="Calibri" w:hAnsi="Futura" w:cs="Calibri"/>
          <w:b/>
          <w:bCs/>
          <w:color w:val="000000"/>
          <w:sz w:val="28"/>
          <w:szCs w:val="28"/>
          <w:lang w:bidi="en-US"/>
        </w:rPr>
        <w:t>Hercessi</w:t>
      </w:r>
      <w:r w:rsidRPr="00375509">
        <w:rPr>
          <w:rFonts w:ascii="Futura" w:eastAsia="Calibri" w:hAnsi="Futura" w:cs="Calibri"/>
          <w:color w:val="000000"/>
          <w:sz w:val="20"/>
          <w:szCs w:val="20"/>
          <w:lang w:bidi="en-US"/>
        </w:rPr>
        <w:t xml:space="preserve"> is a HER2/neu receptor antagonist indicated for: </w:t>
      </w:r>
    </w:p>
    <w:p w14:paraId="7E87D5D4" w14:textId="77777777" w:rsidR="00633F2F"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xml:space="preserve">• The treatment of HER2-overexpressing breast cancer. </w:t>
      </w:r>
    </w:p>
    <w:p w14:paraId="2CA241B0" w14:textId="77777777" w:rsidR="00633F2F"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xml:space="preserve">• The treatment of HER2-overexpressing metastatic gastric or gastroesophageal junction adenocarcinoma. </w:t>
      </w:r>
    </w:p>
    <w:p w14:paraId="1C76A22B" w14:textId="77777777" w:rsidR="00633F2F" w:rsidRDefault="00633F2F" w:rsidP="00554794">
      <w:pPr>
        <w:spacing w:after="0" w:line="240" w:lineRule="auto"/>
        <w:jc w:val="both"/>
        <w:rPr>
          <w:rFonts w:ascii="Futura" w:eastAsia="Calibri" w:hAnsi="Futura" w:cs="Calibri"/>
          <w:color w:val="000000"/>
          <w:sz w:val="20"/>
          <w:szCs w:val="20"/>
          <w:lang w:bidi="en-US"/>
        </w:rPr>
      </w:pPr>
    </w:p>
    <w:p w14:paraId="2DF980E0" w14:textId="51E9067B" w:rsidR="00633F2F"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Select patients for therapy based on an FDA-approved companion diagnostic</w:t>
      </w:r>
      <w:r w:rsidR="00F71626">
        <w:rPr>
          <w:rFonts w:ascii="Futura" w:eastAsia="Calibri" w:hAnsi="Futura" w:cs="Calibri"/>
          <w:color w:val="000000"/>
          <w:sz w:val="20"/>
          <w:szCs w:val="20"/>
          <w:lang w:bidi="en-US"/>
        </w:rPr>
        <w:t xml:space="preserve"> </w:t>
      </w:r>
      <w:r w:rsidRPr="00375509">
        <w:rPr>
          <w:rFonts w:ascii="Futura" w:eastAsia="Calibri" w:hAnsi="Futura" w:cs="Calibri"/>
          <w:color w:val="000000"/>
          <w:sz w:val="20"/>
          <w:szCs w:val="20"/>
          <w:lang w:bidi="en-US"/>
        </w:rPr>
        <w:t>for a trastuzumab product.</w:t>
      </w:r>
    </w:p>
    <w:p w14:paraId="28FD6864" w14:textId="77777777" w:rsidR="00633F2F" w:rsidRDefault="00633F2F" w:rsidP="00554794">
      <w:pPr>
        <w:spacing w:after="0" w:line="240" w:lineRule="auto"/>
        <w:jc w:val="both"/>
        <w:rPr>
          <w:rFonts w:ascii="Futura" w:eastAsia="Calibri" w:hAnsi="Futura" w:cs="Calibri"/>
          <w:color w:val="000000"/>
          <w:sz w:val="20"/>
          <w:szCs w:val="20"/>
          <w:lang w:bidi="en-US"/>
        </w:rPr>
      </w:pPr>
    </w:p>
    <w:p w14:paraId="6253188A" w14:textId="77777777" w:rsidR="00633F2F"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DOSAGE AND ADMINISTRATION</w:t>
      </w:r>
    </w:p>
    <w:p w14:paraId="11C3A6A8" w14:textId="77777777" w:rsidR="00F71626"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For intravenous (IV) infusion only. Do not administer as an IV push or bolus. Do not substitute Hercessi (trastuzumab-strf) for or with ado-trastuzumab emtansin</w:t>
      </w:r>
      <w:r w:rsidR="00BD0487">
        <w:rPr>
          <w:rFonts w:ascii="Futura" w:eastAsia="Calibri" w:hAnsi="Futura" w:cs="Calibri"/>
          <w:color w:val="000000"/>
          <w:sz w:val="20"/>
          <w:szCs w:val="20"/>
          <w:lang w:bidi="en-US"/>
        </w:rPr>
        <w:t>e.</w:t>
      </w:r>
      <w:r w:rsidRPr="00375509">
        <w:rPr>
          <w:rFonts w:ascii="Futura" w:eastAsia="Calibri" w:hAnsi="Futura" w:cs="Calibri"/>
          <w:color w:val="000000"/>
          <w:sz w:val="20"/>
          <w:szCs w:val="20"/>
          <w:lang w:bidi="en-US"/>
        </w:rPr>
        <w:t xml:space="preserve">  Perform HER2 testing using FDA-approved tests by laboratories with demonstrated proficiency. </w:t>
      </w:r>
    </w:p>
    <w:p w14:paraId="556AC19B" w14:textId="77777777" w:rsidR="00F71626" w:rsidRDefault="00F71626" w:rsidP="00554794">
      <w:pPr>
        <w:spacing w:after="0" w:line="240" w:lineRule="auto"/>
        <w:jc w:val="both"/>
        <w:rPr>
          <w:rFonts w:ascii="Futura" w:eastAsia="Calibri" w:hAnsi="Futura" w:cs="Calibri"/>
          <w:color w:val="000000"/>
          <w:sz w:val="20"/>
          <w:szCs w:val="20"/>
          <w:lang w:bidi="en-US"/>
        </w:rPr>
      </w:pPr>
    </w:p>
    <w:p w14:paraId="6D33BCB8" w14:textId="77777777" w:rsidR="00F71626"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xml:space="preserve">Adjuvant treatment of HER2-Overexpressing Breast Cancer Administer at either: </w:t>
      </w:r>
    </w:p>
    <w:p w14:paraId="22874899" w14:textId="161B61B0" w:rsidR="00F71626"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xml:space="preserve">• Initial dose of 4 mg/kg over </w:t>
      </w:r>
      <w:r w:rsidR="008C77C2" w:rsidRPr="00375509">
        <w:rPr>
          <w:rFonts w:ascii="Futura" w:eastAsia="Calibri" w:hAnsi="Futura" w:cs="Calibri"/>
          <w:color w:val="000000"/>
          <w:sz w:val="20"/>
          <w:szCs w:val="20"/>
          <w:lang w:bidi="en-US"/>
        </w:rPr>
        <w:t>90-minute IV</w:t>
      </w:r>
      <w:r w:rsidRPr="00375509">
        <w:rPr>
          <w:rFonts w:ascii="Futura" w:eastAsia="Calibri" w:hAnsi="Futura" w:cs="Calibri"/>
          <w:color w:val="000000"/>
          <w:sz w:val="20"/>
          <w:szCs w:val="20"/>
          <w:lang w:bidi="en-US"/>
        </w:rPr>
        <w:t xml:space="preserve"> infusion, then 2 mg/kg over </w:t>
      </w:r>
      <w:r w:rsidR="008C77C2" w:rsidRPr="00375509">
        <w:rPr>
          <w:rFonts w:ascii="Futura" w:eastAsia="Calibri" w:hAnsi="Futura" w:cs="Calibri"/>
          <w:color w:val="000000"/>
          <w:sz w:val="20"/>
          <w:szCs w:val="20"/>
          <w:lang w:bidi="en-US"/>
        </w:rPr>
        <w:t>30-minute IV</w:t>
      </w:r>
      <w:r w:rsidRPr="00375509">
        <w:rPr>
          <w:rFonts w:ascii="Futura" w:eastAsia="Calibri" w:hAnsi="Futura" w:cs="Calibri"/>
          <w:color w:val="000000"/>
          <w:sz w:val="20"/>
          <w:szCs w:val="20"/>
          <w:lang w:bidi="en-US"/>
        </w:rPr>
        <w:t xml:space="preserve"> infusion weekly for 12 weeks (with paclitaxel or docetaxel) or 18 weeks (with docetaxel and carboplatin). One week after the last weekly</w:t>
      </w:r>
      <w:r w:rsidR="008C77C2">
        <w:rPr>
          <w:rFonts w:ascii="Futura" w:eastAsia="Calibri" w:hAnsi="Futura" w:cs="Calibri"/>
          <w:color w:val="000000"/>
          <w:sz w:val="20"/>
          <w:szCs w:val="20"/>
          <w:lang w:bidi="en-US"/>
        </w:rPr>
        <w:t xml:space="preserve"> </w:t>
      </w:r>
      <w:r w:rsidRPr="00375509">
        <w:rPr>
          <w:rFonts w:ascii="Futura" w:eastAsia="Calibri" w:hAnsi="Futura" w:cs="Calibri"/>
          <w:color w:val="000000"/>
          <w:sz w:val="20"/>
          <w:szCs w:val="20"/>
          <w:lang w:bidi="en-US"/>
        </w:rPr>
        <w:t xml:space="preserve">dose of Hercessi, administer 6 mg/kg as an IV infusion over 30−90 minutes every three weeks to complete a total of 52 weeks of therapy, or </w:t>
      </w:r>
    </w:p>
    <w:p w14:paraId="3746D53E" w14:textId="77777777" w:rsidR="00F71626"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xml:space="preserve">• Initial dose of 8 mg/kg over 90 minutes IV infusion, then 6 mg/kg over 30−90 minutes IV infusion every three weeks for 52 weeks. Metastatic HER2-Overexpressing Breast Cancer </w:t>
      </w:r>
    </w:p>
    <w:p w14:paraId="56CC846F" w14:textId="5A4264E5" w:rsidR="00F71626"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xml:space="preserve">• Initial dose of 4 mg/kg as a </w:t>
      </w:r>
      <w:r w:rsidR="00F71626" w:rsidRPr="00375509">
        <w:rPr>
          <w:rFonts w:ascii="Futura" w:eastAsia="Calibri" w:hAnsi="Futura" w:cs="Calibri"/>
          <w:color w:val="000000"/>
          <w:sz w:val="20"/>
          <w:szCs w:val="20"/>
          <w:lang w:bidi="en-US"/>
        </w:rPr>
        <w:t>90-minute IV</w:t>
      </w:r>
      <w:r w:rsidRPr="00375509">
        <w:rPr>
          <w:rFonts w:ascii="Futura" w:eastAsia="Calibri" w:hAnsi="Futura" w:cs="Calibri"/>
          <w:color w:val="000000"/>
          <w:sz w:val="20"/>
          <w:szCs w:val="20"/>
          <w:lang w:bidi="en-US"/>
        </w:rPr>
        <w:t xml:space="preserve"> infusion followed by subsequent weekly doses of 2 mg/kg as </w:t>
      </w:r>
      <w:r w:rsidR="008C77C2" w:rsidRPr="00375509">
        <w:rPr>
          <w:rFonts w:ascii="Futura" w:eastAsia="Calibri" w:hAnsi="Futura" w:cs="Calibri"/>
          <w:color w:val="000000"/>
          <w:sz w:val="20"/>
          <w:szCs w:val="20"/>
          <w:lang w:bidi="en-US"/>
        </w:rPr>
        <w:t>30-minute IV</w:t>
      </w:r>
      <w:r w:rsidRPr="00375509">
        <w:rPr>
          <w:rFonts w:ascii="Futura" w:eastAsia="Calibri" w:hAnsi="Futura" w:cs="Calibri"/>
          <w:color w:val="000000"/>
          <w:sz w:val="20"/>
          <w:szCs w:val="20"/>
          <w:lang w:bidi="en-US"/>
        </w:rPr>
        <w:t xml:space="preserve"> infusions. Metastatic HER2-Overexpressing Gastric Cancer</w:t>
      </w:r>
    </w:p>
    <w:p w14:paraId="569DEE39" w14:textId="336F7AF3" w:rsidR="000778F1" w:rsidRDefault="00375509" w:rsidP="00554794">
      <w:pPr>
        <w:spacing w:after="0" w:line="240" w:lineRule="auto"/>
        <w:jc w:val="both"/>
        <w:rPr>
          <w:rFonts w:ascii="Futura" w:eastAsia="Calibri" w:hAnsi="Futura" w:cs="Calibri"/>
          <w:color w:val="000000"/>
          <w:sz w:val="20"/>
          <w:szCs w:val="20"/>
          <w:lang w:bidi="en-US"/>
        </w:rPr>
      </w:pPr>
      <w:r w:rsidRPr="00375509">
        <w:rPr>
          <w:rFonts w:ascii="Futura" w:eastAsia="Calibri" w:hAnsi="Futura" w:cs="Calibri"/>
          <w:color w:val="000000"/>
          <w:sz w:val="20"/>
          <w:szCs w:val="20"/>
          <w:lang w:bidi="en-US"/>
        </w:rPr>
        <w:t>• Initial dose of 8 mg/kg over 90 minutes IV infusion, followed by 6 mg/kg over 30 to 90 minutes IV infusion every 3 weeks.</w:t>
      </w:r>
    </w:p>
    <w:p w14:paraId="70D7FBD5" w14:textId="77777777" w:rsidR="00754158" w:rsidRDefault="00754158" w:rsidP="00554794">
      <w:pPr>
        <w:spacing w:after="0" w:line="240" w:lineRule="auto"/>
        <w:jc w:val="both"/>
        <w:rPr>
          <w:rFonts w:ascii="Futura" w:eastAsia="Calibri" w:hAnsi="Futura" w:cs="Calibri"/>
          <w:color w:val="000000"/>
          <w:sz w:val="20"/>
          <w:szCs w:val="20"/>
          <w:lang w:bidi="en-US"/>
        </w:rPr>
      </w:pPr>
    </w:p>
    <w:p w14:paraId="07EA3BB1" w14:textId="77777777" w:rsidR="00F71626" w:rsidRDefault="00754158" w:rsidP="00554794">
      <w:pPr>
        <w:spacing w:after="0" w:line="240" w:lineRule="auto"/>
        <w:jc w:val="both"/>
        <w:rPr>
          <w:rFonts w:ascii="Futura" w:eastAsia="Calibri" w:hAnsi="Futura" w:cs="Calibri"/>
          <w:color w:val="000000"/>
          <w:sz w:val="20"/>
          <w:szCs w:val="20"/>
          <w:lang w:bidi="en-US"/>
        </w:rPr>
      </w:pPr>
      <w:r w:rsidRPr="0018090B">
        <w:rPr>
          <w:rFonts w:ascii="Futura" w:eastAsia="Calibri" w:hAnsi="Futura" w:cs="Calibri"/>
          <w:b/>
          <w:bCs/>
          <w:color w:val="000000"/>
          <w:sz w:val="28"/>
          <w:szCs w:val="28"/>
          <w:lang w:bidi="en-US"/>
        </w:rPr>
        <w:t>HERCEPTIN HYLECTA</w:t>
      </w:r>
      <w:r w:rsidRPr="00754158">
        <w:rPr>
          <w:rFonts w:ascii="Futura" w:eastAsia="Calibri" w:hAnsi="Futura" w:cs="Calibri"/>
          <w:color w:val="000000"/>
          <w:sz w:val="20"/>
          <w:szCs w:val="20"/>
          <w:lang w:bidi="en-US"/>
        </w:rPr>
        <w:t xml:space="preserve"> is a combination of trastuzumab, a HER2/neu receptor antagonist, and hyaluronidase, an endoglycosidase, indicated in adults for: </w:t>
      </w:r>
    </w:p>
    <w:p w14:paraId="6E71E609" w14:textId="77777777" w:rsidR="00F71626"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 The treatment of HER2-overexpressing breast cancer. </w:t>
      </w:r>
    </w:p>
    <w:p w14:paraId="76AA7704" w14:textId="77777777" w:rsidR="00F71626" w:rsidRDefault="00F71626" w:rsidP="00554794">
      <w:pPr>
        <w:spacing w:after="0" w:line="240" w:lineRule="auto"/>
        <w:jc w:val="both"/>
        <w:rPr>
          <w:rFonts w:ascii="Futura" w:eastAsia="Calibri" w:hAnsi="Futura" w:cs="Calibri"/>
          <w:color w:val="000000"/>
          <w:sz w:val="20"/>
          <w:szCs w:val="20"/>
          <w:lang w:bidi="en-US"/>
        </w:rPr>
      </w:pPr>
    </w:p>
    <w:p w14:paraId="1E38DE0F" w14:textId="77777777" w:rsidR="00F71626"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Select patients for therapy based on an FDA-approved companion diagnostic for trastuzumab. </w:t>
      </w:r>
    </w:p>
    <w:p w14:paraId="01DCB957" w14:textId="77777777" w:rsidR="00F71626" w:rsidRDefault="00F71626" w:rsidP="00554794">
      <w:pPr>
        <w:spacing w:after="0" w:line="240" w:lineRule="auto"/>
        <w:jc w:val="both"/>
        <w:rPr>
          <w:rFonts w:ascii="Futura" w:eastAsia="Calibri" w:hAnsi="Futura" w:cs="Calibri"/>
          <w:color w:val="000000"/>
          <w:sz w:val="20"/>
          <w:szCs w:val="20"/>
          <w:lang w:bidi="en-US"/>
        </w:rPr>
      </w:pPr>
    </w:p>
    <w:p w14:paraId="0058867C" w14:textId="77777777" w:rsidR="00F71626"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DOSAGE AND ADMINISTRATION</w:t>
      </w:r>
    </w:p>
    <w:p w14:paraId="73CFEAC6" w14:textId="566B06B9" w:rsidR="00754158"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For subcutaneous use only. HERCEPTIN HYLECTA has different dosage and administration instructions than intravenous trastuzumab products. Do not administer intravenously.  Do not substitute HERCEPTIN HYLECTA for or with ado-trastuzumab emtansine.  Perform HER2 testing using </w:t>
      </w:r>
      <w:r w:rsidRPr="00754158">
        <w:rPr>
          <w:rFonts w:ascii="Futura" w:eastAsia="Calibri" w:hAnsi="Futura" w:cs="Calibri"/>
          <w:color w:val="000000"/>
          <w:sz w:val="20"/>
          <w:szCs w:val="20"/>
          <w:lang w:bidi="en-US"/>
        </w:rPr>
        <w:lastRenderedPageBreak/>
        <w:t>FDA-approved tests by laboratories with demonstrated proficiency.  The recommended dose of HERCEPTIN HYLECTA is 600 mg/10,000 units (600 mg trastuzumab and 10,000 units hyaluronidase) administered subcutaneously over approximately 2-5 minutes once every three weeks.</w:t>
      </w:r>
    </w:p>
    <w:p w14:paraId="5EC98A77" w14:textId="77777777" w:rsidR="00754158" w:rsidRDefault="00754158" w:rsidP="00554794">
      <w:pPr>
        <w:spacing w:after="0" w:line="240" w:lineRule="auto"/>
        <w:jc w:val="both"/>
        <w:rPr>
          <w:rFonts w:ascii="Futura" w:eastAsia="Calibri" w:hAnsi="Futura" w:cs="Calibri"/>
          <w:color w:val="000000"/>
          <w:sz w:val="20"/>
          <w:szCs w:val="20"/>
          <w:lang w:bidi="en-US"/>
        </w:rPr>
      </w:pPr>
    </w:p>
    <w:p w14:paraId="57782AFE" w14:textId="77777777" w:rsidR="006A5EBF" w:rsidRDefault="00754158" w:rsidP="00554794">
      <w:pPr>
        <w:spacing w:after="0" w:line="240" w:lineRule="auto"/>
        <w:jc w:val="both"/>
        <w:rPr>
          <w:rFonts w:ascii="Futura" w:eastAsia="Calibri" w:hAnsi="Futura" w:cs="Calibri"/>
          <w:color w:val="000000"/>
          <w:sz w:val="20"/>
          <w:szCs w:val="20"/>
          <w:lang w:bidi="en-US"/>
        </w:rPr>
      </w:pPr>
      <w:r w:rsidRPr="0018090B">
        <w:rPr>
          <w:rFonts w:ascii="Futura" w:eastAsia="Calibri" w:hAnsi="Futura" w:cs="Calibri"/>
          <w:b/>
          <w:bCs/>
          <w:color w:val="000000"/>
          <w:sz w:val="28"/>
          <w:szCs w:val="28"/>
          <w:lang w:bidi="en-US"/>
        </w:rPr>
        <w:t>Herceptin</w:t>
      </w:r>
      <w:r w:rsidRPr="00754158">
        <w:rPr>
          <w:rFonts w:ascii="Futura" w:eastAsia="Calibri" w:hAnsi="Futura" w:cs="Calibri"/>
          <w:color w:val="000000"/>
          <w:sz w:val="20"/>
          <w:szCs w:val="20"/>
          <w:lang w:bidi="en-US"/>
        </w:rPr>
        <w:t xml:space="preserve"> is a HER2/neu receptor antagonist indicated in adults for: </w:t>
      </w:r>
    </w:p>
    <w:p w14:paraId="497E39FA" w14:textId="4FC488F0" w:rsidR="006A5EBF"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 The treatment of HER2-overexpressing breast cancer. </w:t>
      </w:r>
    </w:p>
    <w:p w14:paraId="12A7FFBD" w14:textId="77777777" w:rsidR="006A5EBF"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 The treatment of HER2-overexpressing metastatic gastric or gastroesophageal junction adenocarcinoma. </w:t>
      </w:r>
    </w:p>
    <w:p w14:paraId="7FC22178" w14:textId="77777777" w:rsidR="006A5EBF" w:rsidRDefault="006A5EBF" w:rsidP="00554794">
      <w:pPr>
        <w:spacing w:after="0" w:line="240" w:lineRule="auto"/>
        <w:jc w:val="both"/>
        <w:rPr>
          <w:rFonts w:ascii="Futura" w:eastAsia="Calibri" w:hAnsi="Futura" w:cs="Calibri"/>
          <w:color w:val="000000"/>
          <w:sz w:val="20"/>
          <w:szCs w:val="20"/>
          <w:lang w:bidi="en-US"/>
        </w:rPr>
      </w:pPr>
    </w:p>
    <w:p w14:paraId="5FB9E7F7" w14:textId="7F187320" w:rsidR="006A5EBF"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Select patients for therapy based on an FDA-approved companion diagnostic for Herceptin</w:t>
      </w:r>
      <w:r w:rsidR="006A5EBF">
        <w:rPr>
          <w:rFonts w:ascii="Futura" w:eastAsia="Calibri" w:hAnsi="Futura" w:cs="Calibri"/>
          <w:color w:val="000000"/>
          <w:sz w:val="20"/>
          <w:szCs w:val="20"/>
          <w:lang w:bidi="en-US"/>
        </w:rPr>
        <w:t>.</w:t>
      </w:r>
    </w:p>
    <w:p w14:paraId="2940E4A8" w14:textId="77777777" w:rsidR="006A5EBF" w:rsidRDefault="006A5EBF" w:rsidP="00554794">
      <w:pPr>
        <w:spacing w:after="0" w:line="240" w:lineRule="auto"/>
        <w:jc w:val="both"/>
        <w:rPr>
          <w:rFonts w:ascii="Futura" w:eastAsia="Calibri" w:hAnsi="Futura" w:cs="Calibri"/>
          <w:color w:val="000000"/>
          <w:sz w:val="20"/>
          <w:szCs w:val="20"/>
          <w:lang w:bidi="en-US"/>
        </w:rPr>
      </w:pPr>
    </w:p>
    <w:p w14:paraId="203305F5" w14:textId="77777777" w:rsidR="006A5EBF"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DOSAGE AND ADMINISTRATION</w:t>
      </w:r>
    </w:p>
    <w:p w14:paraId="09E52E6A" w14:textId="77777777"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For intravenous (IV) infusion only. Do not administer as an IV push or bolus. Herceptin has different dosage and administration instructions than subcutaneous trastuzumab products.  Do not substitute Herceptin (trastuzumab) for or with ado-trastuzumab emtansine or fam-trastuzumab deruxtecan.  Perform HER2 testing using FDA-approved tests by laboratories with demonstrated proficiency.  Adjuvant Treatment of HER2-Overexpressing Breast Cancer </w:t>
      </w:r>
    </w:p>
    <w:p w14:paraId="7B43C39B" w14:textId="77777777" w:rsidR="009B0030" w:rsidRDefault="009B0030" w:rsidP="00554794">
      <w:pPr>
        <w:spacing w:after="0" w:line="240" w:lineRule="auto"/>
        <w:jc w:val="both"/>
        <w:rPr>
          <w:rFonts w:ascii="Futura" w:eastAsia="Calibri" w:hAnsi="Futura" w:cs="Calibri"/>
          <w:color w:val="000000"/>
          <w:sz w:val="20"/>
          <w:szCs w:val="20"/>
          <w:lang w:bidi="en-US"/>
        </w:rPr>
      </w:pPr>
    </w:p>
    <w:p w14:paraId="7A943725" w14:textId="77777777"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Administer at either: </w:t>
      </w:r>
    </w:p>
    <w:p w14:paraId="415A7A78" w14:textId="5F4F26E6"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 Initial dose of 4 mg/kg over 90 minutes IV infusion, then 2 mg/kg over 30 minutes IV infusion weekly for 12 weeks (with paclitaxel or docetaxel) or 18 weeks (with docetaxel and carboplatin). One week after the last weekly dose of Herceptin, administer 6 mg/kg as an IV infusion over 30−90 minutes every three weeks to complete a total of 52 weeks of therapy, or </w:t>
      </w:r>
    </w:p>
    <w:p w14:paraId="61DAE397" w14:textId="77777777"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Initial dose of 8 mg/kg over 90 minutes IV infusion, then 6 mg/kg over 30−90 minutes IV infusion every three weeks for 52 weeks.</w:t>
      </w:r>
    </w:p>
    <w:p w14:paraId="68A3B926" w14:textId="23146E5E"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 </w:t>
      </w:r>
    </w:p>
    <w:p w14:paraId="2AF3A008" w14:textId="77777777"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Metastatic HER2-Overexpressing Breast Cancer  </w:t>
      </w:r>
    </w:p>
    <w:p w14:paraId="0674AD05" w14:textId="2B57BF8F" w:rsidR="009B0030"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xml:space="preserve">• Initial dose of 4 mg/kg as a </w:t>
      </w:r>
      <w:r w:rsidR="008C77C2" w:rsidRPr="00754158">
        <w:rPr>
          <w:rFonts w:ascii="Futura" w:eastAsia="Calibri" w:hAnsi="Futura" w:cs="Calibri"/>
          <w:color w:val="000000"/>
          <w:sz w:val="20"/>
          <w:szCs w:val="20"/>
          <w:lang w:bidi="en-US"/>
        </w:rPr>
        <w:t>90-minute IV</w:t>
      </w:r>
      <w:r w:rsidRPr="00754158">
        <w:rPr>
          <w:rFonts w:ascii="Futura" w:eastAsia="Calibri" w:hAnsi="Futura" w:cs="Calibri"/>
          <w:color w:val="000000"/>
          <w:sz w:val="20"/>
          <w:szCs w:val="20"/>
          <w:lang w:bidi="en-US"/>
        </w:rPr>
        <w:t xml:space="preserve"> infusion followed by subsequent weekly doses of 2 mg/kg as </w:t>
      </w:r>
      <w:r w:rsidR="008C77C2" w:rsidRPr="00754158">
        <w:rPr>
          <w:rFonts w:ascii="Futura" w:eastAsia="Calibri" w:hAnsi="Futura" w:cs="Calibri"/>
          <w:color w:val="000000"/>
          <w:sz w:val="20"/>
          <w:szCs w:val="20"/>
          <w:lang w:bidi="en-US"/>
        </w:rPr>
        <w:t>30-minute IV</w:t>
      </w:r>
      <w:r w:rsidRPr="00754158">
        <w:rPr>
          <w:rFonts w:ascii="Futura" w:eastAsia="Calibri" w:hAnsi="Futura" w:cs="Calibri"/>
          <w:color w:val="000000"/>
          <w:sz w:val="20"/>
          <w:szCs w:val="20"/>
          <w:lang w:bidi="en-US"/>
        </w:rPr>
        <w:t xml:space="preserve"> infusions. Metastatic HER2-Overexpressing Gastric Cancer</w:t>
      </w:r>
    </w:p>
    <w:p w14:paraId="2FD2D6C6" w14:textId="2559F0B9" w:rsidR="00754158" w:rsidRDefault="00754158" w:rsidP="00554794">
      <w:pPr>
        <w:spacing w:after="0" w:line="240" w:lineRule="auto"/>
        <w:jc w:val="both"/>
        <w:rPr>
          <w:rFonts w:ascii="Futura" w:eastAsia="Calibri" w:hAnsi="Futura" w:cs="Calibri"/>
          <w:color w:val="000000"/>
          <w:sz w:val="20"/>
          <w:szCs w:val="20"/>
          <w:lang w:bidi="en-US"/>
        </w:rPr>
      </w:pPr>
      <w:r w:rsidRPr="00754158">
        <w:rPr>
          <w:rFonts w:ascii="Futura" w:eastAsia="Calibri" w:hAnsi="Futura" w:cs="Calibri"/>
          <w:color w:val="000000"/>
          <w:sz w:val="20"/>
          <w:szCs w:val="20"/>
          <w:lang w:bidi="en-US"/>
        </w:rPr>
        <w:t>• Initial dose of 8 mg/kg over 90 minutes IV infusion, followed by 6 mg/kg over 30 to 90 minutes IV infusion every 3 weeks.</w:t>
      </w:r>
    </w:p>
    <w:p w14:paraId="5EFDAA62" w14:textId="77777777" w:rsidR="00754158" w:rsidRDefault="00754158" w:rsidP="00554794">
      <w:pPr>
        <w:spacing w:after="0" w:line="240" w:lineRule="auto"/>
        <w:jc w:val="both"/>
        <w:rPr>
          <w:rFonts w:ascii="Futura" w:eastAsia="Calibri" w:hAnsi="Futura" w:cs="Calibri"/>
          <w:color w:val="000000"/>
          <w:sz w:val="20"/>
          <w:szCs w:val="20"/>
          <w:lang w:bidi="en-US"/>
        </w:rPr>
      </w:pPr>
    </w:p>
    <w:p w14:paraId="5107DDC4" w14:textId="77777777" w:rsidR="009B0030" w:rsidRDefault="007B4B49" w:rsidP="00554794">
      <w:pPr>
        <w:spacing w:after="0" w:line="240" w:lineRule="auto"/>
        <w:jc w:val="both"/>
        <w:rPr>
          <w:rFonts w:ascii="Futura" w:eastAsia="Calibri" w:hAnsi="Futura" w:cs="Calibri"/>
          <w:color w:val="000000"/>
          <w:sz w:val="20"/>
          <w:szCs w:val="20"/>
          <w:lang w:bidi="en-US"/>
        </w:rPr>
      </w:pPr>
      <w:r w:rsidRPr="0036645E">
        <w:rPr>
          <w:rFonts w:ascii="Futura" w:eastAsia="Calibri" w:hAnsi="Futura" w:cs="Calibri"/>
          <w:b/>
          <w:bCs/>
          <w:color w:val="000000"/>
          <w:sz w:val="28"/>
          <w:szCs w:val="28"/>
          <w:lang w:bidi="en-US"/>
        </w:rPr>
        <w:t>TRAZIMERA</w:t>
      </w:r>
      <w:r w:rsidRPr="007B4B49">
        <w:rPr>
          <w:rFonts w:ascii="Futura" w:eastAsia="Calibri" w:hAnsi="Futura" w:cs="Calibri"/>
          <w:color w:val="000000"/>
          <w:sz w:val="20"/>
          <w:szCs w:val="20"/>
          <w:lang w:bidi="en-US"/>
        </w:rPr>
        <w:t xml:space="preserve"> is a HER2/neu receptor antagonist indicated for: </w:t>
      </w:r>
    </w:p>
    <w:p w14:paraId="0B7C991D" w14:textId="27EF6B35" w:rsidR="00E55558"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The treatment of HER2-overexpressing breast cancer.</w:t>
      </w:r>
    </w:p>
    <w:p w14:paraId="01E69A13" w14:textId="77777777" w:rsidR="00E55558"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xml:space="preserve">• The treatment of HER2-overexpressing metastatic gastric or gastroesophageal junction adenocarcinoma. </w:t>
      </w:r>
    </w:p>
    <w:p w14:paraId="71CA27CC" w14:textId="77777777" w:rsidR="00B17714"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Select patients for therapy based on an FDA-approved companion diagnostic for a trastuzumab product.</w:t>
      </w:r>
    </w:p>
    <w:p w14:paraId="22306B65" w14:textId="77777777" w:rsidR="00B17714" w:rsidRDefault="00B17714" w:rsidP="00554794">
      <w:pPr>
        <w:spacing w:after="0" w:line="240" w:lineRule="auto"/>
        <w:jc w:val="both"/>
        <w:rPr>
          <w:rFonts w:ascii="Futura" w:eastAsia="Calibri" w:hAnsi="Futura" w:cs="Calibri"/>
          <w:color w:val="000000"/>
          <w:sz w:val="20"/>
          <w:szCs w:val="20"/>
          <w:lang w:bidi="en-US"/>
        </w:rPr>
      </w:pPr>
    </w:p>
    <w:p w14:paraId="163936A9" w14:textId="77777777" w:rsidR="00B17714"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DOSAGE AND ADMINISTRATION</w:t>
      </w:r>
    </w:p>
    <w:p w14:paraId="6328D628" w14:textId="77777777" w:rsidR="001505D9"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xml:space="preserve">For intravenous (IV) infusion only. Do not administer as an IV push or bolus. Do not substitute TRAZIMERA (trastuzumab-qyyp) for or with ado-trastuzumab emtansine. Perform HER2 testing using FDA-approved tests by laboratories with demonstrated proficiency. </w:t>
      </w:r>
    </w:p>
    <w:p w14:paraId="69D1F802" w14:textId="77777777" w:rsidR="001505D9" w:rsidRDefault="001505D9" w:rsidP="00554794">
      <w:pPr>
        <w:spacing w:after="0" w:line="240" w:lineRule="auto"/>
        <w:jc w:val="both"/>
        <w:rPr>
          <w:rFonts w:ascii="Futura" w:eastAsia="Calibri" w:hAnsi="Futura" w:cs="Calibri"/>
          <w:color w:val="000000"/>
          <w:sz w:val="20"/>
          <w:szCs w:val="20"/>
          <w:lang w:bidi="en-US"/>
        </w:rPr>
      </w:pPr>
    </w:p>
    <w:p w14:paraId="05D44317" w14:textId="77777777" w:rsidR="001505D9"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xml:space="preserve">Adjuvant Treatment of HER2-Overexpressing Breast Cancer Administer at either: </w:t>
      </w:r>
    </w:p>
    <w:p w14:paraId="373AA514" w14:textId="22EA2728" w:rsidR="00311AED"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xml:space="preserve">• Initial dose of 4 mg/kg over </w:t>
      </w:r>
      <w:r w:rsidR="00311AED" w:rsidRPr="007B4B49">
        <w:rPr>
          <w:rFonts w:ascii="Futura" w:eastAsia="Calibri" w:hAnsi="Futura" w:cs="Calibri"/>
          <w:color w:val="000000"/>
          <w:sz w:val="20"/>
          <w:szCs w:val="20"/>
          <w:lang w:bidi="en-US"/>
        </w:rPr>
        <w:t>90-minute IV</w:t>
      </w:r>
      <w:r w:rsidRPr="007B4B49">
        <w:rPr>
          <w:rFonts w:ascii="Futura" w:eastAsia="Calibri" w:hAnsi="Futura" w:cs="Calibri"/>
          <w:color w:val="000000"/>
          <w:sz w:val="20"/>
          <w:szCs w:val="20"/>
          <w:lang w:bidi="en-US"/>
        </w:rPr>
        <w:t xml:space="preserve"> infusion, then 2 mg/kg over </w:t>
      </w:r>
      <w:r w:rsidR="00121A5D" w:rsidRPr="007B4B49">
        <w:rPr>
          <w:rFonts w:ascii="Futura" w:eastAsia="Calibri" w:hAnsi="Futura" w:cs="Calibri"/>
          <w:color w:val="000000"/>
          <w:sz w:val="20"/>
          <w:szCs w:val="20"/>
          <w:lang w:bidi="en-US"/>
        </w:rPr>
        <w:t>30-minute IV</w:t>
      </w:r>
      <w:r w:rsidRPr="007B4B49">
        <w:rPr>
          <w:rFonts w:ascii="Futura" w:eastAsia="Calibri" w:hAnsi="Futura" w:cs="Calibri"/>
          <w:color w:val="000000"/>
          <w:sz w:val="20"/>
          <w:szCs w:val="20"/>
          <w:lang w:bidi="en-US"/>
        </w:rPr>
        <w:t xml:space="preserve"> infusion weekly for 12 weeks (with paclitaxel or docetaxel) or 18 weeks (with docetaxel and carboplatin). One week after the last weekly dose of TRAZIMERA, administer 6 mg/kg as an IV infusion over 30 to 90 minutes every three weeks to complete a total of 52 weeks of therapy, or • Initial dose of 8 mg/kg over 90 minutes IV infusion, then 6 mg/kg over 30 to 90 minutes IV infusion every three weeks for 52 weeks. </w:t>
      </w:r>
    </w:p>
    <w:p w14:paraId="0A5BC839" w14:textId="77777777" w:rsidR="00311AED" w:rsidRDefault="00311AED" w:rsidP="00554794">
      <w:pPr>
        <w:spacing w:after="0" w:line="240" w:lineRule="auto"/>
        <w:jc w:val="both"/>
        <w:rPr>
          <w:rFonts w:ascii="Futura" w:eastAsia="Calibri" w:hAnsi="Futura" w:cs="Calibri"/>
          <w:color w:val="000000"/>
          <w:sz w:val="20"/>
          <w:szCs w:val="20"/>
          <w:lang w:bidi="en-US"/>
        </w:rPr>
      </w:pPr>
    </w:p>
    <w:p w14:paraId="34B79642" w14:textId="77777777" w:rsidR="00311AED"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xml:space="preserve">Metastatic HER2-Overexpressing Breast Cancer  </w:t>
      </w:r>
    </w:p>
    <w:p w14:paraId="2FB37E85" w14:textId="1B96687E" w:rsidR="00311AED"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lastRenderedPageBreak/>
        <w:t xml:space="preserve">• Initial dose of 4 mg/kg as a </w:t>
      </w:r>
      <w:r w:rsidR="00121A5D" w:rsidRPr="007B4B49">
        <w:rPr>
          <w:rFonts w:ascii="Futura" w:eastAsia="Calibri" w:hAnsi="Futura" w:cs="Calibri"/>
          <w:color w:val="000000"/>
          <w:sz w:val="20"/>
          <w:szCs w:val="20"/>
          <w:lang w:bidi="en-US"/>
        </w:rPr>
        <w:t>90-minute IV</w:t>
      </w:r>
      <w:r w:rsidRPr="007B4B49">
        <w:rPr>
          <w:rFonts w:ascii="Futura" w:eastAsia="Calibri" w:hAnsi="Futura" w:cs="Calibri"/>
          <w:color w:val="000000"/>
          <w:sz w:val="20"/>
          <w:szCs w:val="20"/>
          <w:lang w:bidi="en-US"/>
        </w:rPr>
        <w:t xml:space="preserve"> infusion followed by subsequent weekly doses of 2 mg/kg as </w:t>
      </w:r>
      <w:r w:rsidR="00121A5D" w:rsidRPr="007B4B49">
        <w:rPr>
          <w:rFonts w:ascii="Futura" w:eastAsia="Calibri" w:hAnsi="Futura" w:cs="Calibri"/>
          <w:color w:val="000000"/>
          <w:sz w:val="20"/>
          <w:szCs w:val="20"/>
          <w:lang w:bidi="en-US"/>
        </w:rPr>
        <w:t>30-minute IV</w:t>
      </w:r>
      <w:r w:rsidRPr="007B4B49">
        <w:rPr>
          <w:rFonts w:ascii="Futura" w:eastAsia="Calibri" w:hAnsi="Futura" w:cs="Calibri"/>
          <w:color w:val="000000"/>
          <w:sz w:val="20"/>
          <w:szCs w:val="20"/>
          <w:lang w:bidi="en-US"/>
        </w:rPr>
        <w:t xml:space="preserve"> infusions. Metastatic HER2-Overexpressing Gastric Cancer </w:t>
      </w:r>
    </w:p>
    <w:p w14:paraId="3BCAC39A" w14:textId="4F133A61" w:rsidR="00754158" w:rsidRDefault="007B4B49" w:rsidP="00554794">
      <w:pPr>
        <w:spacing w:after="0" w:line="240" w:lineRule="auto"/>
        <w:jc w:val="both"/>
        <w:rPr>
          <w:rFonts w:ascii="Futura" w:eastAsia="Calibri" w:hAnsi="Futura" w:cs="Calibri"/>
          <w:color w:val="000000"/>
          <w:sz w:val="20"/>
          <w:szCs w:val="20"/>
          <w:lang w:bidi="en-US"/>
        </w:rPr>
      </w:pPr>
      <w:r w:rsidRPr="007B4B49">
        <w:rPr>
          <w:rFonts w:ascii="Futura" w:eastAsia="Calibri" w:hAnsi="Futura" w:cs="Calibri"/>
          <w:color w:val="000000"/>
          <w:sz w:val="20"/>
          <w:szCs w:val="20"/>
          <w:lang w:bidi="en-US"/>
        </w:rPr>
        <w:t>• Initial dose of 8 mg/kg over 90 minutes IV infusion, followed by 6 mg/kg over 30 to 90 minutes IV infusion every 3 weeks</w:t>
      </w:r>
    </w:p>
    <w:p w14:paraId="384D1C2F" w14:textId="77777777" w:rsidR="002B3DD1" w:rsidRDefault="002B3DD1" w:rsidP="00554794">
      <w:pPr>
        <w:spacing w:after="0" w:line="240" w:lineRule="auto"/>
        <w:jc w:val="both"/>
        <w:rPr>
          <w:rFonts w:ascii="Futura" w:eastAsia="Calibri" w:hAnsi="Futura" w:cs="Calibri"/>
          <w:color w:val="000000"/>
          <w:sz w:val="20"/>
          <w:szCs w:val="20"/>
          <w:lang w:bidi="en-US"/>
        </w:rPr>
      </w:pPr>
    </w:p>
    <w:p w14:paraId="735BFD19" w14:textId="77777777" w:rsidR="00121A5D" w:rsidRDefault="002B3DD1" w:rsidP="00554794">
      <w:pPr>
        <w:spacing w:after="0" w:line="240" w:lineRule="auto"/>
        <w:jc w:val="both"/>
        <w:rPr>
          <w:rFonts w:ascii="Futura" w:eastAsia="Calibri" w:hAnsi="Futura" w:cs="Calibri"/>
          <w:color w:val="000000"/>
          <w:sz w:val="20"/>
          <w:szCs w:val="20"/>
          <w:lang w:bidi="en-US"/>
        </w:rPr>
      </w:pPr>
      <w:r w:rsidRPr="0036645E">
        <w:rPr>
          <w:rFonts w:ascii="Futura" w:eastAsia="Calibri" w:hAnsi="Futura" w:cs="Calibri"/>
          <w:b/>
          <w:bCs/>
          <w:color w:val="000000"/>
          <w:sz w:val="28"/>
          <w:szCs w:val="28"/>
          <w:lang w:bidi="en-US"/>
        </w:rPr>
        <w:t>Ogivri</w:t>
      </w:r>
      <w:r w:rsidRPr="002B3DD1">
        <w:rPr>
          <w:rFonts w:ascii="Futura" w:eastAsia="Calibri" w:hAnsi="Futura" w:cs="Calibri"/>
          <w:color w:val="000000"/>
          <w:sz w:val="20"/>
          <w:szCs w:val="20"/>
          <w:lang w:bidi="en-US"/>
        </w:rPr>
        <w:t xml:space="preserve"> is a HER2/neu receptor antagonist indicated in adults for: </w:t>
      </w:r>
    </w:p>
    <w:p w14:paraId="2AC95E71" w14:textId="6A5F4EC8" w:rsidR="00121A5D"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The treatment of HER2-overexpressing breast cancer.</w:t>
      </w:r>
    </w:p>
    <w:p w14:paraId="44C71749" w14:textId="5A45EECE" w:rsidR="00121A5D"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The treatment of HER2-overexpressing metastatic gastric or gastroesophageal junction adenocarcinoma.</w:t>
      </w:r>
    </w:p>
    <w:p w14:paraId="1FD06E8E" w14:textId="77777777" w:rsidR="00121A5D" w:rsidRDefault="00121A5D" w:rsidP="00554794">
      <w:pPr>
        <w:spacing w:after="0" w:line="240" w:lineRule="auto"/>
        <w:jc w:val="both"/>
        <w:rPr>
          <w:rFonts w:ascii="Futura" w:eastAsia="Calibri" w:hAnsi="Futura" w:cs="Calibri"/>
          <w:color w:val="000000"/>
          <w:sz w:val="20"/>
          <w:szCs w:val="20"/>
          <w:lang w:bidi="en-US"/>
        </w:rPr>
      </w:pPr>
    </w:p>
    <w:p w14:paraId="6FB0E28B" w14:textId="5AFA0DB1" w:rsidR="00121A5D"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Select patients for therapy based on an FDA-approved companion diagnostic for a trastuzumab product</w:t>
      </w:r>
      <w:r w:rsidR="00121A5D">
        <w:rPr>
          <w:rFonts w:ascii="Futura" w:eastAsia="Calibri" w:hAnsi="Futura" w:cs="Calibri"/>
          <w:color w:val="000000"/>
          <w:sz w:val="20"/>
          <w:szCs w:val="20"/>
          <w:lang w:bidi="en-US"/>
        </w:rPr>
        <w:t>.</w:t>
      </w:r>
      <w:r w:rsidRPr="002B3DD1">
        <w:rPr>
          <w:rFonts w:ascii="Futura" w:eastAsia="Calibri" w:hAnsi="Futura" w:cs="Calibri"/>
          <w:color w:val="000000"/>
          <w:sz w:val="20"/>
          <w:szCs w:val="20"/>
          <w:lang w:bidi="en-US"/>
        </w:rPr>
        <w:t xml:space="preserve"> </w:t>
      </w:r>
    </w:p>
    <w:p w14:paraId="5F1023F4" w14:textId="77777777" w:rsidR="00121A5D" w:rsidRDefault="00121A5D" w:rsidP="00554794">
      <w:pPr>
        <w:spacing w:after="0" w:line="240" w:lineRule="auto"/>
        <w:jc w:val="both"/>
        <w:rPr>
          <w:rFonts w:ascii="Futura" w:eastAsia="Calibri" w:hAnsi="Futura" w:cs="Calibri"/>
          <w:color w:val="000000"/>
          <w:sz w:val="20"/>
          <w:szCs w:val="20"/>
          <w:lang w:bidi="en-US"/>
        </w:rPr>
      </w:pPr>
    </w:p>
    <w:p w14:paraId="2FFA3F04" w14:textId="77777777" w:rsidR="00121A5D"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DOSAGE AND ADMINISTRATION </w:t>
      </w:r>
    </w:p>
    <w:p w14:paraId="5F1626BB" w14:textId="52AB09C3" w:rsidR="00354530"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For intravenous (IV) infusion only. Do not administer as an IV push or bolus. Ogivri has different dosage and administration instructions than subcutaneous trastuzumab products. Do not substitute Ogivri (trastuzumab-dkst) for or with ado-trastuzumab emtansine or fam-trastuzumab deruxtecan. Perform HER2 testing using FDA-approved tests by laboratories with demonstrated proficiency. </w:t>
      </w:r>
    </w:p>
    <w:p w14:paraId="6A2A0D16" w14:textId="77777777" w:rsidR="00354530" w:rsidRDefault="00354530" w:rsidP="00554794">
      <w:pPr>
        <w:spacing w:after="0" w:line="240" w:lineRule="auto"/>
        <w:jc w:val="both"/>
        <w:rPr>
          <w:rFonts w:ascii="Futura" w:eastAsia="Calibri" w:hAnsi="Futura" w:cs="Calibri"/>
          <w:color w:val="000000"/>
          <w:sz w:val="20"/>
          <w:szCs w:val="20"/>
          <w:lang w:bidi="en-US"/>
        </w:rPr>
      </w:pPr>
    </w:p>
    <w:p w14:paraId="1C66A742" w14:textId="42FF6F77" w:rsidR="00354530"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Adjuvant Treatment of HER2-Overexpressing Breast Cancer Administer at either: </w:t>
      </w:r>
    </w:p>
    <w:p w14:paraId="1017E20D" w14:textId="77777777" w:rsidR="002E7BF7"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 Initial dose of 4 mg/kg over 90 minutes IV infusion, then 2 mg/kg over 30 minutes IV infusion weekly for 12 weeks (with paclitaxel or docetaxel) or 18 weeks (with docetaxel and carboplatin). One week after the last weekly dose of Ogivri, administer 6 mg/kg as an IV infusion over 30 to 90 minutes every three weeks to complete a total of 52 weeks of therapy, or </w:t>
      </w:r>
    </w:p>
    <w:p w14:paraId="7E9F7674" w14:textId="77777777" w:rsidR="002E7BF7"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 Initial dose of 8 mg/kg over 90 minutes IV infusion, then 6 mg/kg over 30 to 90 minutes IV infusion every three weeks for 52 weeks. </w:t>
      </w:r>
    </w:p>
    <w:p w14:paraId="282C3444" w14:textId="77777777" w:rsidR="002E7BF7" w:rsidRDefault="002E7BF7" w:rsidP="00554794">
      <w:pPr>
        <w:spacing w:after="0" w:line="240" w:lineRule="auto"/>
        <w:jc w:val="both"/>
        <w:rPr>
          <w:rFonts w:ascii="Futura" w:eastAsia="Calibri" w:hAnsi="Futura" w:cs="Calibri"/>
          <w:color w:val="000000"/>
          <w:sz w:val="20"/>
          <w:szCs w:val="20"/>
          <w:lang w:bidi="en-US"/>
        </w:rPr>
      </w:pPr>
    </w:p>
    <w:p w14:paraId="137E4717" w14:textId="77777777" w:rsidR="002E7BF7"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Metastatic HER2-Overexpressing Breast Cancer </w:t>
      </w:r>
    </w:p>
    <w:p w14:paraId="59E1CCFA" w14:textId="229D17CE" w:rsidR="002E7BF7"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 Initial dose of 4 mg/kg as a </w:t>
      </w:r>
      <w:r w:rsidR="009D3A65" w:rsidRPr="002B3DD1">
        <w:rPr>
          <w:rFonts w:ascii="Futura" w:eastAsia="Calibri" w:hAnsi="Futura" w:cs="Calibri"/>
          <w:color w:val="000000"/>
          <w:sz w:val="20"/>
          <w:szCs w:val="20"/>
          <w:lang w:bidi="en-US"/>
        </w:rPr>
        <w:t>90-minute IV</w:t>
      </w:r>
      <w:r w:rsidRPr="002B3DD1">
        <w:rPr>
          <w:rFonts w:ascii="Futura" w:eastAsia="Calibri" w:hAnsi="Futura" w:cs="Calibri"/>
          <w:color w:val="000000"/>
          <w:sz w:val="20"/>
          <w:szCs w:val="20"/>
          <w:lang w:bidi="en-US"/>
        </w:rPr>
        <w:t xml:space="preserve"> infusion followed by subsequent weekly doses of 2 mg/kg as </w:t>
      </w:r>
      <w:r w:rsidR="009D3A65" w:rsidRPr="002B3DD1">
        <w:rPr>
          <w:rFonts w:ascii="Futura" w:eastAsia="Calibri" w:hAnsi="Futura" w:cs="Calibri"/>
          <w:color w:val="000000"/>
          <w:sz w:val="20"/>
          <w:szCs w:val="20"/>
          <w:lang w:bidi="en-US"/>
        </w:rPr>
        <w:t>30-minute IV</w:t>
      </w:r>
      <w:r w:rsidRPr="002B3DD1">
        <w:rPr>
          <w:rFonts w:ascii="Futura" w:eastAsia="Calibri" w:hAnsi="Futura" w:cs="Calibri"/>
          <w:color w:val="000000"/>
          <w:sz w:val="20"/>
          <w:szCs w:val="20"/>
          <w:lang w:bidi="en-US"/>
        </w:rPr>
        <w:t xml:space="preserve"> infusions. </w:t>
      </w:r>
    </w:p>
    <w:p w14:paraId="7037C9C9" w14:textId="77777777" w:rsidR="002E7BF7" w:rsidRDefault="002E7BF7" w:rsidP="00554794">
      <w:pPr>
        <w:spacing w:after="0" w:line="240" w:lineRule="auto"/>
        <w:jc w:val="both"/>
        <w:rPr>
          <w:rFonts w:ascii="Futura" w:eastAsia="Calibri" w:hAnsi="Futura" w:cs="Calibri"/>
          <w:color w:val="000000"/>
          <w:sz w:val="20"/>
          <w:szCs w:val="20"/>
          <w:lang w:bidi="en-US"/>
        </w:rPr>
      </w:pPr>
    </w:p>
    <w:p w14:paraId="707840EC" w14:textId="77777777" w:rsidR="002E7BF7"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xml:space="preserve">Metastatic HER2-Overexpressing Gastric Cancer </w:t>
      </w:r>
    </w:p>
    <w:p w14:paraId="4833611B" w14:textId="2097893A" w:rsidR="007B4B49" w:rsidRDefault="002B3DD1" w:rsidP="00554794">
      <w:pPr>
        <w:spacing w:after="0" w:line="240" w:lineRule="auto"/>
        <w:jc w:val="both"/>
        <w:rPr>
          <w:rFonts w:ascii="Futura" w:eastAsia="Calibri" w:hAnsi="Futura" w:cs="Calibri"/>
          <w:color w:val="000000"/>
          <w:sz w:val="20"/>
          <w:szCs w:val="20"/>
          <w:lang w:bidi="en-US"/>
        </w:rPr>
      </w:pPr>
      <w:r w:rsidRPr="002B3DD1">
        <w:rPr>
          <w:rFonts w:ascii="Futura" w:eastAsia="Calibri" w:hAnsi="Futura" w:cs="Calibri"/>
          <w:color w:val="000000"/>
          <w:sz w:val="20"/>
          <w:szCs w:val="20"/>
          <w:lang w:bidi="en-US"/>
        </w:rPr>
        <w:t>• Initial dose of 8 mg/kg over 90 minutes IV infusion, followed by 6 mg/kg over 30 to 90 minutes IV infusion every 3 weeks.</w:t>
      </w:r>
    </w:p>
    <w:p w14:paraId="6FB6D1EC" w14:textId="77777777" w:rsidR="007B4B49" w:rsidRDefault="007B4B49" w:rsidP="00554794">
      <w:pPr>
        <w:spacing w:after="0" w:line="240" w:lineRule="auto"/>
        <w:jc w:val="both"/>
        <w:rPr>
          <w:rFonts w:ascii="Futura" w:eastAsia="Calibri" w:hAnsi="Futura" w:cs="Calibri"/>
          <w:color w:val="000000"/>
          <w:sz w:val="20"/>
          <w:szCs w:val="20"/>
          <w:lang w:bidi="en-US"/>
        </w:rPr>
      </w:pPr>
    </w:p>
    <w:p w14:paraId="00CD7F74" w14:textId="77777777" w:rsidR="00F64ED3" w:rsidRDefault="003F6095" w:rsidP="00554794">
      <w:pPr>
        <w:spacing w:after="0" w:line="240" w:lineRule="auto"/>
        <w:jc w:val="both"/>
        <w:rPr>
          <w:rFonts w:ascii="Futura" w:eastAsia="Calibri" w:hAnsi="Futura" w:cs="Calibri"/>
          <w:color w:val="000000"/>
          <w:sz w:val="20"/>
          <w:szCs w:val="20"/>
          <w:lang w:bidi="en-US"/>
        </w:rPr>
      </w:pPr>
      <w:r w:rsidRPr="0036645E">
        <w:rPr>
          <w:rFonts w:ascii="Futura" w:eastAsia="Calibri" w:hAnsi="Futura" w:cs="Calibri"/>
          <w:b/>
          <w:bCs/>
          <w:color w:val="000000"/>
          <w:sz w:val="28"/>
          <w:szCs w:val="28"/>
          <w:lang w:bidi="en-US"/>
        </w:rPr>
        <w:t>HERZUMA</w:t>
      </w:r>
      <w:r w:rsidRPr="003F6095">
        <w:rPr>
          <w:rFonts w:ascii="Futura" w:eastAsia="Calibri" w:hAnsi="Futura" w:cs="Calibri"/>
          <w:color w:val="000000"/>
          <w:sz w:val="20"/>
          <w:szCs w:val="20"/>
          <w:lang w:bidi="en-US"/>
        </w:rPr>
        <w:t xml:space="preserve"> is a HER2/neu receptor antagonist indicated in adults for: </w:t>
      </w:r>
    </w:p>
    <w:p w14:paraId="02F8D1D9" w14:textId="09F6B6B4"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the treatment of HER2-overexpressing breast cancer.</w:t>
      </w:r>
    </w:p>
    <w:p w14:paraId="24C1B8EE" w14:textId="2CB802F6"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the treatment of HER2-overexpressing metastatic gastric or gastroesophageal junction adenocarcinoma.</w:t>
      </w:r>
    </w:p>
    <w:p w14:paraId="5719B4F7" w14:textId="77777777" w:rsidR="00F64ED3" w:rsidRDefault="00F64ED3" w:rsidP="00554794">
      <w:pPr>
        <w:spacing w:after="0" w:line="240" w:lineRule="auto"/>
        <w:jc w:val="both"/>
        <w:rPr>
          <w:rFonts w:ascii="Futura" w:eastAsia="Calibri" w:hAnsi="Futura" w:cs="Calibri"/>
          <w:color w:val="000000"/>
          <w:sz w:val="20"/>
          <w:szCs w:val="20"/>
          <w:lang w:bidi="en-US"/>
        </w:rPr>
      </w:pPr>
    </w:p>
    <w:p w14:paraId="0C6DEC39" w14:textId="03F0A28E"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Select patients for therapy based on an FDA-approved companion diagnostic for a trastuzumab product. </w:t>
      </w:r>
    </w:p>
    <w:p w14:paraId="170B08EE" w14:textId="77777777" w:rsidR="00F64ED3" w:rsidRDefault="00F64ED3" w:rsidP="00554794">
      <w:pPr>
        <w:spacing w:after="0" w:line="240" w:lineRule="auto"/>
        <w:jc w:val="both"/>
        <w:rPr>
          <w:rFonts w:ascii="Futura" w:eastAsia="Calibri" w:hAnsi="Futura" w:cs="Calibri"/>
          <w:color w:val="000000"/>
          <w:sz w:val="20"/>
          <w:szCs w:val="20"/>
          <w:lang w:bidi="en-US"/>
        </w:rPr>
      </w:pPr>
    </w:p>
    <w:p w14:paraId="5F07CF83"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DOSAGE AND ADMINISTRATION </w:t>
      </w:r>
    </w:p>
    <w:p w14:paraId="0082A012"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For intravenous (IV) infusion only. Do not administer as an IV push or bolus. HERZUMA has different dosage and administration instructions than subcutaneous trastuzumab products.  Do not substitute HERZUMA (trastuzumab-pkrb) for or with ado-trastuzumab emtansine or fam-trastuzumab deruxtecan.  Perform HER2 testing using FDA-approved tests by laboratories with demonstrated proficiency.  </w:t>
      </w:r>
    </w:p>
    <w:p w14:paraId="718CE133" w14:textId="77777777" w:rsidR="00F64ED3" w:rsidRDefault="00F64ED3" w:rsidP="00554794">
      <w:pPr>
        <w:spacing w:after="0" w:line="240" w:lineRule="auto"/>
        <w:jc w:val="both"/>
        <w:rPr>
          <w:rFonts w:ascii="Futura" w:eastAsia="Calibri" w:hAnsi="Futura" w:cs="Calibri"/>
          <w:color w:val="000000"/>
          <w:sz w:val="20"/>
          <w:szCs w:val="20"/>
          <w:lang w:bidi="en-US"/>
        </w:rPr>
      </w:pPr>
    </w:p>
    <w:p w14:paraId="6F1C785A"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Adjuvant Treatment of HER2-Overexpressing Breast Cancer Administer at either: </w:t>
      </w:r>
    </w:p>
    <w:p w14:paraId="292ECFA6"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lastRenderedPageBreak/>
        <w:t xml:space="preserve">• Initial dose of 4 mg/kg over 90 minutes IV infusion, then 2 mg/kg over 30 minutes IV infusion weekly for 12 weeks (with paclitaxel or docetaxel) or 18 weeks (with docetaxel and carboplatin). One week after the last weekly dose of HERZUMA, administer 6 mg/kg as an IV infusion over 30 to 90 minutes every three weeks to complete a total of 52 weeks of therapy, or </w:t>
      </w:r>
    </w:p>
    <w:p w14:paraId="65EB2223"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 Initial dose of 8 mg/kg over 90 minutes IV infusion, then 6 mg/kg over 30 to 90 minutes IV infusion every three weeks for 52 weeks. </w:t>
      </w:r>
    </w:p>
    <w:p w14:paraId="219CA278" w14:textId="77777777" w:rsidR="00F64ED3" w:rsidRDefault="00F64ED3" w:rsidP="00554794">
      <w:pPr>
        <w:spacing w:after="0" w:line="240" w:lineRule="auto"/>
        <w:jc w:val="both"/>
        <w:rPr>
          <w:rFonts w:ascii="Futura" w:eastAsia="Calibri" w:hAnsi="Futura" w:cs="Calibri"/>
          <w:color w:val="000000"/>
          <w:sz w:val="20"/>
          <w:szCs w:val="20"/>
          <w:lang w:bidi="en-US"/>
        </w:rPr>
      </w:pPr>
    </w:p>
    <w:p w14:paraId="1700BE32"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Metastatic HER2-Overexpressing Breast Cancer </w:t>
      </w:r>
    </w:p>
    <w:p w14:paraId="500C4FB2" w14:textId="1751FACC"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 Initial dose of 4 mg/kg as a </w:t>
      </w:r>
      <w:r w:rsidR="009D3A65" w:rsidRPr="003F6095">
        <w:rPr>
          <w:rFonts w:ascii="Futura" w:eastAsia="Calibri" w:hAnsi="Futura" w:cs="Calibri"/>
          <w:color w:val="000000"/>
          <w:sz w:val="20"/>
          <w:szCs w:val="20"/>
          <w:lang w:bidi="en-US"/>
        </w:rPr>
        <w:t>90-minute IV</w:t>
      </w:r>
      <w:r w:rsidRPr="003F6095">
        <w:rPr>
          <w:rFonts w:ascii="Futura" w:eastAsia="Calibri" w:hAnsi="Futura" w:cs="Calibri"/>
          <w:color w:val="000000"/>
          <w:sz w:val="20"/>
          <w:szCs w:val="20"/>
          <w:lang w:bidi="en-US"/>
        </w:rPr>
        <w:t xml:space="preserve"> infusion followed by subsequent weekly doses of 2 mg/kg as </w:t>
      </w:r>
      <w:r w:rsidR="009D3A65" w:rsidRPr="003F6095">
        <w:rPr>
          <w:rFonts w:ascii="Futura" w:eastAsia="Calibri" w:hAnsi="Futura" w:cs="Calibri"/>
          <w:color w:val="000000"/>
          <w:sz w:val="20"/>
          <w:szCs w:val="20"/>
          <w:lang w:bidi="en-US"/>
        </w:rPr>
        <w:t>30-minute IV</w:t>
      </w:r>
      <w:r w:rsidRPr="003F6095">
        <w:rPr>
          <w:rFonts w:ascii="Futura" w:eastAsia="Calibri" w:hAnsi="Futura" w:cs="Calibri"/>
          <w:color w:val="000000"/>
          <w:sz w:val="20"/>
          <w:szCs w:val="20"/>
          <w:lang w:bidi="en-US"/>
        </w:rPr>
        <w:t xml:space="preserve"> infusions. </w:t>
      </w:r>
    </w:p>
    <w:p w14:paraId="38BB8BC2" w14:textId="77777777" w:rsidR="00F64ED3" w:rsidRDefault="00F64ED3" w:rsidP="00554794">
      <w:pPr>
        <w:spacing w:after="0" w:line="240" w:lineRule="auto"/>
        <w:jc w:val="both"/>
        <w:rPr>
          <w:rFonts w:ascii="Futura" w:eastAsia="Calibri" w:hAnsi="Futura" w:cs="Calibri"/>
          <w:color w:val="000000"/>
          <w:sz w:val="20"/>
          <w:szCs w:val="20"/>
          <w:lang w:bidi="en-US"/>
        </w:rPr>
      </w:pPr>
    </w:p>
    <w:p w14:paraId="4C5B72AA"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Metastatic HER2-Overexpressing Gastric Cancer </w:t>
      </w:r>
    </w:p>
    <w:p w14:paraId="6B673AAC"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Initial dose of 8 mg/kg over 90 minutes IV infusion, followed by 6 mg/kg over 30 to 90 minutes IV infusion every 3 weeks.</w:t>
      </w:r>
      <w:r w:rsidRPr="003F6095">
        <w:t xml:space="preserve"> </w:t>
      </w:r>
      <w:r w:rsidRPr="003F6095">
        <w:rPr>
          <w:rFonts w:ascii="Futura" w:eastAsia="Calibri" w:hAnsi="Futura" w:cs="Calibri"/>
          <w:color w:val="000000"/>
          <w:sz w:val="20"/>
          <w:szCs w:val="20"/>
          <w:lang w:bidi="en-US"/>
        </w:rPr>
        <w:t xml:space="preserve">HERZUMA is a HER2/neu receptor antagonist indicated in adults for: </w:t>
      </w:r>
    </w:p>
    <w:p w14:paraId="598A0106" w14:textId="1E562F74"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 the treatment of HER2-overexpressing breast cancer. </w:t>
      </w:r>
    </w:p>
    <w:p w14:paraId="780DF820" w14:textId="77777777" w:rsidR="00F64ED3" w:rsidRDefault="003F6095" w:rsidP="00554794">
      <w:pPr>
        <w:spacing w:after="0" w:line="240" w:lineRule="auto"/>
        <w:jc w:val="both"/>
        <w:rPr>
          <w:rFonts w:ascii="Futura" w:eastAsia="Calibri" w:hAnsi="Futura" w:cs="Calibri"/>
          <w:color w:val="000000"/>
          <w:sz w:val="20"/>
          <w:szCs w:val="20"/>
          <w:lang w:bidi="en-US"/>
        </w:rPr>
      </w:pPr>
      <w:r w:rsidRPr="003F6095">
        <w:rPr>
          <w:rFonts w:ascii="Futura" w:eastAsia="Calibri" w:hAnsi="Futura" w:cs="Calibri"/>
          <w:color w:val="000000"/>
          <w:sz w:val="20"/>
          <w:szCs w:val="20"/>
          <w:lang w:bidi="en-US"/>
        </w:rPr>
        <w:t xml:space="preserve">• the treatment of HER2-overexpressing metastatic gastric or gastroesophageal junction adenocarcinoma. </w:t>
      </w:r>
    </w:p>
    <w:p w14:paraId="30144AEB" w14:textId="77777777" w:rsidR="00F64ED3" w:rsidRDefault="00F64ED3" w:rsidP="00554794">
      <w:pPr>
        <w:spacing w:after="0" w:line="240" w:lineRule="auto"/>
        <w:jc w:val="both"/>
        <w:rPr>
          <w:rFonts w:ascii="Futura" w:eastAsia="Calibri" w:hAnsi="Futura" w:cs="Calibri"/>
          <w:color w:val="000000"/>
          <w:sz w:val="20"/>
          <w:szCs w:val="20"/>
          <w:lang w:bidi="en-US"/>
        </w:rPr>
      </w:pPr>
    </w:p>
    <w:p w14:paraId="43168028" w14:textId="2EB01277" w:rsidR="00EF30F2" w:rsidRDefault="001D184A" w:rsidP="00554794">
      <w:pPr>
        <w:spacing w:after="0" w:line="240" w:lineRule="auto"/>
        <w:jc w:val="both"/>
        <w:rPr>
          <w:rFonts w:ascii="Futura" w:eastAsia="Calibri" w:hAnsi="Futura" w:cs="Calibri"/>
          <w:color w:val="000000"/>
          <w:sz w:val="20"/>
          <w:szCs w:val="20"/>
          <w:lang w:bidi="en-US"/>
        </w:rPr>
      </w:pPr>
      <w:r w:rsidRPr="0036645E">
        <w:rPr>
          <w:rFonts w:ascii="Futura" w:eastAsia="Calibri" w:hAnsi="Futura" w:cs="Calibri"/>
          <w:b/>
          <w:bCs/>
          <w:color w:val="000000"/>
          <w:sz w:val="28"/>
          <w:szCs w:val="28"/>
          <w:lang w:bidi="en-US"/>
        </w:rPr>
        <w:t>Ontruzant</w:t>
      </w:r>
      <w:r w:rsidRPr="001D184A">
        <w:rPr>
          <w:rFonts w:ascii="Futura" w:eastAsia="Calibri" w:hAnsi="Futura" w:cs="Calibri"/>
          <w:color w:val="000000"/>
          <w:sz w:val="20"/>
          <w:szCs w:val="20"/>
          <w:lang w:bidi="en-US"/>
        </w:rPr>
        <w:t xml:space="preserve"> is a HER2/neu receptor antagonist indicated for:</w:t>
      </w:r>
    </w:p>
    <w:p w14:paraId="1052F795" w14:textId="77777777" w:rsidR="00EF30F2"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 xml:space="preserve">The treatment of HER2-overexpressing breast cancer. </w:t>
      </w:r>
    </w:p>
    <w:p w14:paraId="5F9098B6" w14:textId="414EBD8F" w:rsidR="00EF30F2"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The treatment of HER2-overexpressing metastatic gastric or gastroesophageal junction adenocarcinoma.</w:t>
      </w:r>
    </w:p>
    <w:p w14:paraId="1EE47AC1" w14:textId="77777777" w:rsidR="00EF30F2" w:rsidRDefault="00EF30F2" w:rsidP="00554794">
      <w:pPr>
        <w:spacing w:after="0" w:line="240" w:lineRule="auto"/>
        <w:jc w:val="both"/>
        <w:rPr>
          <w:rFonts w:ascii="Futura" w:eastAsia="Calibri" w:hAnsi="Futura" w:cs="Calibri"/>
          <w:color w:val="000000"/>
          <w:sz w:val="20"/>
          <w:szCs w:val="20"/>
          <w:lang w:bidi="en-US"/>
        </w:rPr>
      </w:pPr>
    </w:p>
    <w:p w14:paraId="756AEABF" w14:textId="13E86418" w:rsidR="00EF30F2"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Select patients for therapy based on an FDA-approved companion diagnostic for a trastuzumab product.</w:t>
      </w:r>
    </w:p>
    <w:p w14:paraId="5A7947A8" w14:textId="77777777" w:rsidR="00EF30F2" w:rsidRDefault="00EF30F2" w:rsidP="00554794">
      <w:pPr>
        <w:spacing w:after="0" w:line="240" w:lineRule="auto"/>
        <w:jc w:val="both"/>
        <w:rPr>
          <w:rFonts w:ascii="Futura" w:eastAsia="Calibri" w:hAnsi="Futura" w:cs="Calibri"/>
          <w:color w:val="000000"/>
          <w:sz w:val="20"/>
          <w:szCs w:val="20"/>
          <w:lang w:bidi="en-US"/>
        </w:rPr>
      </w:pPr>
    </w:p>
    <w:p w14:paraId="2E13477D" w14:textId="77777777" w:rsidR="00EF30F2"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DOSAGE AND ADMINISTRATION</w:t>
      </w:r>
    </w:p>
    <w:p w14:paraId="1A495915" w14:textId="77777777" w:rsidR="00EF30F2"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 xml:space="preserve">For intravenous (IV) infusion only. Do not administer as an IV push or bolus. Do not substitute Ontruzant (trastuzumab-dttb) for or with ado-trastuzumab emtansine. Perform HER2 testing using FDA-approved tests by laboratories with demonstrated proficiency. </w:t>
      </w:r>
    </w:p>
    <w:p w14:paraId="7E7F2F02" w14:textId="77777777" w:rsidR="00EF30F2" w:rsidRDefault="00EF30F2" w:rsidP="00554794">
      <w:pPr>
        <w:spacing w:after="0" w:line="240" w:lineRule="auto"/>
        <w:jc w:val="both"/>
        <w:rPr>
          <w:rFonts w:ascii="Futura" w:eastAsia="Calibri" w:hAnsi="Futura" w:cs="Calibri"/>
          <w:color w:val="000000"/>
          <w:sz w:val="20"/>
          <w:szCs w:val="20"/>
          <w:lang w:bidi="en-US"/>
        </w:rPr>
      </w:pPr>
    </w:p>
    <w:p w14:paraId="0BD9670D" w14:textId="6E38DE00" w:rsidR="00D33CB7"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 xml:space="preserve">Adjuvant Treatment of HER2-Overexpressing Breast Cancer Administer at either: </w:t>
      </w:r>
      <w:r w:rsidRPr="001D184A">
        <w:rPr>
          <w:rFonts w:ascii="Futura" w:eastAsia="Calibri" w:hAnsi="Futura" w:cs="Calibri"/>
          <w:color w:val="000000"/>
          <w:sz w:val="20"/>
          <w:szCs w:val="20"/>
          <w:lang w:bidi="en-US"/>
        </w:rPr>
        <w:sym w:font="Symbol" w:char="F09F"/>
      </w:r>
      <w:r w:rsidRPr="001D184A">
        <w:rPr>
          <w:rFonts w:ascii="Futura" w:eastAsia="Calibri" w:hAnsi="Futura" w:cs="Calibri"/>
          <w:color w:val="000000"/>
          <w:sz w:val="20"/>
          <w:szCs w:val="20"/>
          <w:lang w:bidi="en-US"/>
        </w:rPr>
        <w:t xml:space="preserve"> Initial dose of 4 mg/kg over </w:t>
      </w:r>
      <w:r w:rsidR="00D33CB7" w:rsidRPr="001D184A">
        <w:rPr>
          <w:rFonts w:ascii="Futura" w:eastAsia="Calibri" w:hAnsi="Futura" w:cs="Calibri"/>
          <w:color w:val="000000"/>
          <w:sz w:val="20"/>
          <w:szCs w:val="20"/>
          <w:lang w:bidi="en-US"/>
        </w:rPr>
        <w:t>90-minute IV</w:t>
      </w:r>
      <w:r w:rsidRPr="001D184A">
        <w:rPr>
          <w:rFonts w:ascii="Futura" w:eastAsia="Calibri" w:hAnsi="Futura" w:cs="Calibri"/>
          <w:color w:val="000000"/>
          <w:sz w:val="20"/>
          <w:szCs w:val="20"/>
          <w:lang w:bidi="en-US"/>
        </w:rPr>
        <w:t xml:space="preserve"> infusion, then 2 mg/kg over </w:t>
      </w:r>
      <w:r w:rsidR="00D33CB7" w:rsidRPr="001D184A">
        <w:rPr>
          <w:rFonts w:ascii="Futura" w:eastAsia="Calibri" w:hAnsi="Futura" w:cs="Calibri"/>
          <w:color w:val="000000"/>
          <w:sz w:val="20"/>
          <w:szCs w:val="20"/>
          <w:lang w:bidi="en-US"/>
        </w:rPr>
        <w:t>30-minute IV</w:t>
      </w:r>
      <w:r w:rsidRPr="001D184A">
        <w:rPr>
          <w:rFonts w:ascii="Futura" w:eastAsia="Calibri" w:hAnsi="Futura" w:cs="Calibri"/>
          <w:color w:val="000000"/>
          <w:sz w:val="20"/>
          <w:szCs w:val="20"/>
          <w:lang w:bidi="en-US"/>
        </w:rPr>
        <w:t xml:space="preserve"> infusion weekly for 12 weeks (with paclitaxel or docetaxel) or 18 weeks (with docetaxel and carboplatin). One week after the last weekly dose of Ontruzant, administer 6 mg/kg as an IV infusion over 30 to 90 minutes every three weeks to complete a total of 52 weeks of therapy, or </w:t>
      </w:r>
      <w:r w:rsidRPr="001D184A">
        <w:rPr>
          <w:rFonts w:ascii="Futura" w:eastAsia="Calibri" w:hAnsi="Futura" w:cs="Calibri"/>
          <w:color w:val="000000"/>
          <w:sz w:val="20"/>
          <w:szCs w:val="20"/>
          <w:lang w:bidi="en-US"/>
        </w:rPr>
        <w:sym w:font="Symbol" w:char="F09F"/>
      </w:r>
      <w:r w:rsidRPr="001D184A">
        <w:rPr>
          <w:rFonts w:ascii="Futura" w:eastAsia="Calibri" w:hAnsi="Futura" w:cs="Calibri"/>
          <w:color w:val="000000"/>
          <w:sz w:val="20"/>
          <w:szCs w:val="20"/>
          <w:lang w:bidi="en-US"/>
        </w:rPr>
        <w:t xml:space="preserve"> Initial dose of 8 mg/kg over 90 minutes IV infusion, then 6 mg/kg over 30 to 90 minutes IV infusion every three weeks for 52 weeks. </w:t>
      </w:r>
    </w:p>
    <w:p w14:paraId="46E0FF81" w14:textId="77777777" w:rsidR="00D33CB7" w:rsidRDefault="00D33CB7" w:rsidP="00554794">
      <w:pPr>
        <w:spacing w:after="0" w:line="240" w:lineRule="auto"/>
        <w:jc w:val="both"/>
        <w:rPr>
          <w:rFonts w:ascii="Futura" w:eastAsia="Calibri" w:hAnsi="Futura" w:cs="Calibri"/>
          <w:color w:val="000000"/>
          <w:sz w:val="20"/>
          <w:szCs w:val="20"/>
          <w:lang w:bidi="en-US"/>
        </w:rPr>
      </w:pPr>
    </w:p>
    <w:p w14:paraId="428BE18F" w14:textId="477CA8AA" w:rsidR="00D33CB7"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 xml:space="preserve">Metastatic HER2-Overexpressing Breast Cancer </w:t>
      </w:r>
      <w:r w:rsidRPr="001D184A">
        <w:rPr>
          <w:rFonts w:ascii="Futura" w:eastAsia="Calibri" w:hAnsi="Futura" w:cs="Calibri"/>
          <w:color w:val="000000"/>
          <w:sz w:val="20"/>
          <w:szCs w:val="20"/>
          <w:lang w:bidi="en-US"/>
        </w:rPr>
        <w:sym w:font="Symbol" w:char="F09F"/>
      </w:r>
      <w:r w:rsidRPr="001D184A">
        <w:rPr>
          <w:rFonts w:ascii="Futura" w:eastAsia="Calibri" w:hAnsi="Futura" w:cs="Calibri"/>
          <w:color w:val="000000"/>
          <w:sz w:val="20"/>
          <w:szCs w:val="20"/>
          <w:lang w:bidi="en-US"/>
        </w:rPr>
        <w:t xml:space="preserve"> Initial dose of 4 mg/kg as a </w:t>
      </w:r>
      <w:r w:rsidR="00D33CB7" w:rsidRPr="001D184A">
        <w:rPr>
          <w:rFonts w:ascii="Futura" w:eastAsia="Calibri" w:hAnsi="Futura" w:cs="Calibri"/>
          <w:color w:val="000000"/>
          <w:sz w:val="20"/>
          <w:szCs w:val="20"/>
          <w:lang w:bidi="en-US"/>
        </w:rPr>
        <w:t>90-minute IV</w:t>
      </w:r>
      <w:r w:rsidRPr="001D184A">
        <w:rPr>
          <w:rFonts w:ascii="Futura" w:eastAsia="Calibri" w:hAnsi="Futura" w:cs="Calibri"/>
          <w:color w:val="000000"/>
          <w:sz w:val="20"/>
          <w:szCs w:val="20"/>
          <w:lang w:bidi="en-US"/>
        </w:rPr>
        <w:t xml:space="preserve"> infusion followed by subsequent weekly doses of 2 mg/kg as </w:t>
      </w:r>
      <w:r w:rsidR="00D33CB7" w:rsidRPr="001D184A">
        <w:rPr>
          <w:rFonts w:ascii="Futura" w:eastAsia="Calibri" w:hAnsi="Futura" w:cs="Calibri"/>
          <w:color w:val="000000"/>
          <w:sz w:val="20"/>
          <w:szCs w:val="20"/>
          <w:lang w:bidi="en-US"/>
        </w:rPr>
        <w:t>30-minute IV</w:t>
      </w:r>
      <w:r w:rsidRPr="001D184A">
        <w:rPr>
          <w:rFonts w:ascii="Futura" w:eastAsia="Calibri" w:hAnsi="Futura" w:cs="Calibri"/>
          <w:color w:val="000000"/>
          <w:sz w:val="20"/>
          <w:szCs w:val="20"/>
          <w:lang w:bidi="en-US"/>
        </w:rPr>
        <w:t xml:space="preserve"> infusions. </w:t>
      </w:r>
    </w:p>
    <w:p w14:paraId="72CE7765" w14:textId="77777777" w:rsidR="00D33CB7" w:rsidRDefault="00D33CB7" w:rsidP="00554794">
      <w:pPr>
        <w:spacing w:after="0" w:line="240" w:lineRule="auto"/>
        <w:jc w:val="both"/>
        <w:rPr>
          <w:rFonts w:ascii="Futura" w:eastAsia="Calibri" w:hAnsi="Futura" w:cs="Calibri"/>
          <w:color w:val="000000"/>
          <w:sz w:val="20"/>
          <w:szCs w:val="20"/>
          <w:lang w:bidi="en-US"/>
        </w:rPr>
      </w:pPr>
    </w:p>
    <w:p w14:paraId="55DAA2D6" w14:textId="0BCD49F3" w:rsidR="003F6095" w:rsidRDefault="001D184A" w:rsidP="00554794">
      <w:pPr>
        <w:spacing w:after="0" w:line="240" w:lineRule="auto"/>
        <w:jc w:val="both"/>
        <w:rPr>
          <w:rFonts w:ascii="Futura" w:eastAsia="Calibri" w:hAnsi="Futura" w:cs="Calibri"/>
          <w:color w:val="000000"/>
          <w:sz w:val="20"/>
          <w:szCs w:val="20"/>
          <w:lang w:bidi="en-US"/>
        </w:rPr>
      </w:pPr>
      <w:r w:rsidRPr="001D184A">
        <w:rPr>
          <w:rFonts w:ascii="Futura" w:eastAsia="Calibri" w:hAnsi="Futura" w:cs="Calibri"/>
          <w:color w:val="000000"/>
          <w:sz w:val="20"/>
          <w:szCs w:val="20"/>
          <w:lang w:bidi="en-US"/>
        </w:rPr>
        <w:t xml:space="preserve">Metastatic HER2-Overexpressing Gastric Cancer </w:t>
      </w:r>
      <w:r w:rsidRPr="001D184A">
        <w:rPr>
          <w:rFonts w:ascii="Futura" w:eastAsia="Calibri" w:hAnsi="Futura" w:cs="Calibri"/>
          <w:color w:val="000000"/>
          <w:sz w:val="20"/>
          <w:szCs w:val="20"/>
          <w:lang w:bidi="en-US"/>
        </w:rPr>
        <w:sym w:font="Symbol" w:char="F09F"/>
      </w:r>
      <w:r w:rsidRPr="001D184A">
        <w:rPr>
          <w:rFonts w:ascii="Futura" w:eastAsia="Calibri" w:hAnsi="Futura" w:cs="Calibri"/>
          <w:color w:val="000000"/>
          <w:sz w:val="20"/>
          <w:szCs w:val="20"/>
          <w:lang w:bidi="en-US"/>
        </w:rPr>
        <w:t xml:space="preserve"> Initial dose of 8 mg/kg over 90 minutes IV infusion, followed by 6 mg/kg over 30 to 90 minutes IV infusion every 3 weeks.</w:t>
      </w:r>
    </w:p>
    <w:p w14:paraId="00295D19" w14:textId="77777777" w:rsidR="009F51BE" w:rsidRDefault="009F51BE" w:rsidP="009F51BE">
      <w:pPr>
        <w:spacing w:after="0" w:line="240" w:lineRule="auto"/>
        <w:rPr>
          <w:rFonts w:ascii="Futura" w:eastAsia="Calibri" w:hAnsi="Futura" w:cs="Calibri"/>
          <w:color w:val="000000"/>
          <w:sz w:val="20"/>
          <w:szCs w:val="20"/>
          <w:lang w:bidi="en-US"/>
        </w:rPr>
      </w:pPr>
    </w:p>
    <w:p w14:paraId="2ED2793B" w14:textId="2919B873" w:rsidR="00320403" w:rsidRDefault="00DC1B0C" w:rsidP="00320403">
      <w:pPr>
        <w:spacing w:after="0" w:line="240" w:lineRule="auto"/>
        <w:rPr>
          <w:rFonts w:ascii="Futura" w:hAnsi="Futura"/>
          <w:b/>
          <w:bCs/>
          <w:color w:val="00AEDB"/>
          <w:sz w:val="24"/>
          <w:szCs w:val="24"/>
        </w:rPr>
      </w:pPr>
      <w:r>
        <w:rPr>
          <w:rFonts w:ascii="Futura" w:hAnsi="Futura"/>
          <w:b/>
          <w:bCs/>
          <w:color w:val="00AEDB"/>
          <w:sz w:val="24"/>
          <w:szCs w:val="24"/>
        </w:rPr>
        <w:t>Duration</w:t>
      </w:r>
      <w:r w:rsidR="009C2524">
        <w:rPr>
          <w:rFonts w:ascii="Futura" w:hAnsi="Futura"/>
          <w:b/>
          <w:bCs/>
          <w:color w:val="00AEDB"/>
          <w:sz w:val="24"/>
          <w:szCs w:val="24"/>
        </w:rPr>
        <w:t xml:space="preserve"> of approval</w:t>
      </w:r>
      <w:r w:rsidR="00320403">
        <w:rPr>
          <w:rFonts w:ascii="Futura" w:hAnsi="Futura"/>
          <w:b/>
          <w:bCs/>
          <w:color w:val="00AEDB"/>
          <w:sz w:val="24"/>
          <w:szCs w:val="24"/>
        </w:rPr>
        <w:t>:</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lastRenderedPageBreak/>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6A4B3F">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2F608574" w:rsidR="0072503A" w:rsidRDefault="00002541" w:rsidP="006A4B3F">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715331">
        <w:rPr>
          <w:rFonts w:ascii="Futura" w:hAnsi="Futura"/>
          <w:sz w:val="24"/>
          <w:szCs w:val="24"/>
        </w:rPr>
        <w:t>365</w:t>
      </w:r>
      <w:r w:rsidR="0072503A">
        <w:rPr>
          <w:rFonts w:ascii="Futura" w:hAnsi="Futura"/>
          <w:sz w:val="24"/>
          <w:szCs w:val="24"/>
        </w:rPr>
        <w:t xml:space="preserve"> days (if new) or if it is a reauthorization request.</w:t>
      </w:r>
    </w:p>
    <w:p w14:paraId="2CB2D8D3" w14:textId="22FBCA12" w:rsidR="00856D17" w:rsidRPr="00856D17" w:rsidRDefault="00856D17" w:rsidP="006A4B3F">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9A7E8B">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2FB0FFEE" w14:textId="06DD4926" w:rsidR="006905E1" w:rsidRPr="008B66CF" w:rsidRDefault="001D184A"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Kanjinti</w:t>
      </w:r>
      <w:r w:rsidR="006905E1" w:rsidRPr="008B66CF">
        <w:rPr>
          <w:rFonts w:ascii="Futura" w:eastAsia="Calibri" w:hAnsi="Futura" w:cs="Calibri"/>
          <w:color w:val="000000"/>
          <w:sz w:val="20"/>
          <w:szCs w:val="20"/>
          <w:lang w:bidi="en-US"/>
        </w:rPr>
        <w:t xml:space="preserve"> package insert.</w:t>
      </w:r>
      <w:r w:rsidR="005A1E9B">
        <w:rPr>
          <w:rFonts w:ascii="Futura" w:eastAsia="Calibri" w:hAnsi="Futura" w:cs="Calibri"/>
          <w:color w:val="000000"/>
          <w:sz w:val="20"/>
          <w:szCs w:val="20"/>
          <w:lang w:bidi="en-US"/>
        </w:rPr>
        <w:t xml:space="preserve">  </w:t>
      </w:r>
      <w:r w:rsidR="005A1E9B" w:rsidRPr="008B66CF">
        <w:rPr>
          <w:rFonts w:ascii="Futura" w:eastAsia="Calibri" w:hAnsi="Futura" w:cs="Calibri"/>
          <w:color w:val="000000"/>
          <w:sz w:val="20"/>
          <w:szCs w:val="20"/>
          <w:lang w:bidi="en-US"/>
        </w:rPr>
        <w:t xml:space="preserve"> </w:t>
      </w:r>
      <w:hyperlink r:id="rId9" w:history="1">
        <w:r w:rsidR="00F01AB9">
          <w:rPr>
            <w:rStyle w:val="Hyperlink"/>
            <w:rFonts w:ascii="Futura" w:eastAsia="Calibri" w:hAnsi="Futura" w:cs="Calibri"/>
            <w:sz w:val="20"/>
            <w:szCs w:val="20"/>
            <w:lang w:bidi="en-US"/>
          </w:rPr>
          <w:t>https://www.accessdata.fda.gov/drugsatfda_docs/label/2024/761073s010lbl.pdf</w:t>
        </w:r>
      </w:hyperlink>
    </w:p>
    <w:p w14:paraId="345725CD" w14:textId="5B8CCE91" w:rsidR="006905E1" w:rsidRPr="008B66CF" w:rsidRDefault="001D184A"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Trazimera</w:t>
      </w:r>
      <w:r w:rsidR="006905E1" w:rsidRPr="008B66CF">
        <w:rPr>
          <w:rFonts w:ascii="Futura" w:eastAsia="Calibri" w:hAnsi="Futura" w:cs="Calibri"/>
          <w:color w:val="000000"/>
          <w:sz w:val="20"/>
          <w:szCs w:val="20"/>
          <w:lang w:bidi="en-US"/>
        </w:rPr>
        <w:t xml:space="preserve"> package insert. </w:t>
      </w:r>
      <w:hyperlink r:id="rId10" w:history="1">
        <w:r w:rsidR="006A4B3F">
          <w:rPr>
            <w:rStyle w:val="Hyperlink"/>
            <w:rFonts w:ascii="Futura" w:eastAsia="Calibri" w:hAnsi="Futura" w:cs="Calibri"/>
            <w:sz w:val="20"/>
            <w:szCs w:val="20"/>
            <w:lang w:bidi="en-US"/>
          </w:rPr>
          <w:t>https://www.accessdata.fda.gov/drugsatfda_docs/label/2019/761081s000lbl.pdf</w:t>
        </w:r>
      </w:hyperlink>
    </w:p>
    <w:p w14:paraId="0E52093C" w14:textId="6458D830" w:rsidR="006905E1" w:rsidRPr="008B66CF" w:rsidRDefault="001D184A"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Herceptin</w:t>
      </w:r>
      <w:r w:rsidR="006905E1" w:rsidRPr="008B66CF">
        <w:rPr>
          <w:rFonts w:ascii="Futura" w:eastAsia="Calibri" w:hAnsi="Futura" w:cs="Calibri"/>
          <w:color w:val="000000"/>
          <w:sz w:val="20"/>
          <w:szCs w:val="20"/>
          <w:lang w:bidi="en-US"/>
        </w:rPr>
        <w:t xml:space="preserve"> package insert.</w:t>
      </w:r>
      <w:r w:rsidR="000C7E39" w:rsidRPr="008B66CF">
        <w:t xml:space="preserve"> </w:t>
      </w:r>
      <w:hyperlink r:id="rId11" w:history="1">
        <w:r w:rsidR="006A4B3F">
          <w:rPr>
            <w:rStyle w:val="Hyperlink"/>
          </w:rPr>
          <w:t>https://www.accessdata.fda.gov/drugsatfda_docs/label/2024/103792s5354lbl.pdf</w:t>
        </w:r>
      </w:hyperlink>
    </w:p>
    <w:p w14:paraId="7C38FB84" w14:textId="4777A4CA" w:rsidR="006905E1" w:rsidRPr="008B66CF" w:rsidRDefault="001D184A"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Herceptin Hylecta</w:t>
      </w:r>
      <w:r w:rsidR="006905E1" w:rsidRPr="008B66CF">
        <w:rPr>
          <w:rFonts w:ascii="Futura" w:eastAsia="Calibri" w:hAnsi="Futura" w:cs="Calibri"/>
          <w:color w:val="000000"/>
          <w:sz w:val="20"/>
          <w:szCs w:val="20"/>
          <w:lang w:bidi="en-US"/>
        </w:rPr>
        <w:t xml:space="preserve"> package insert. </w:t>
      </w:r>
      <w:hyperlink r:id="rId12" w:history="1">
        <w:r w:rsidR="00D85742">
          <w:rPr>
            <w:rStyle w:val="Hyperlink"/>
            <w:rFonts w:ascii="Futura" w:eastAsia="Calibri" w:hAnsi="Futura" w:cs="Calibri"/>
            <w:sz w:val="20"/>
            <w:szCs w:val="20"/>
            <w:lang w:bidi="en-US"/>
          </w:rPr>
          <w:t>https://www.accessdata.fda.gov/drugsatfda_docs/label/2024/761106s010lbl.pdf</w:t>
        </w:r>
      </w:hyperlink>
    </w:p>
    <w:p w14:paraId="3115E40D" w14:textId="4BB78E29" w:rsidR="006905E1" w:rsidRPr="008B66CF" w:rsidRDefault="001D184A"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Herzuma</w:t>
      </w:r>
      <w:r w:rsidR="006905E1" w:rsidRPr="008B66CF">
        <w:rPr>
          <w:rFonts w:ascii="Futura" w:eastAsia="Calibri" w:hAnsi="Futura" w:cs="Calibri"/>
          <w:color w:val="000000"/>
          <w:sz w:val="20"/>
          <w:szCs w:val="20"/>
          <w:lang w:bidi="en-US"/>
        </w:rPr>
        <w:t xml:space="preserve"> package insert. </w:t>
      </w:r>
      <w:hyperlink r:id="rId13" w:history="1">
        <w:r w:rsidR="00745810">
          <w:rPr>
            <w:rStyle w:val="Hyperlink"/>
            <w:rFonts w:ascii="Futura" w:eastAsia="Calibri" w:hAnsi="Futura" w:cs="Calibri"/>
            <w:sz w:val="20"/>
            <w:szCs w:val="20"/>
            <w:lang w:bidi="en-US"/>
          </w:rPr>
          <w:t>https://www.accessdata.fda.gov/drugsatfda_docs/label/2024/761091s033lbl.pdf</w:t>
        </w:r>
      </w:hyperlink>
    </w:p>
    <w:p w14:paraId="2FDA8C2F" w14:textId="07F064D0" w:rsidR="006905E1" w:rsidRPr="008B66CF" w:rsidRDefault="005A1E9B"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Ogivri</w:t>
      </w:r>
      <w:r w:rsidR="006905E1" w:rsidRPr="008B66CF">
        <w:rPr>
          <w:rFonts w:ascii="Futura" w:eastAsia="Calibri" w:hAnsi="Futura" w:cs="Calibri"/>
          <w:color w:val="000000"/>
          <w:sz w:val="20"/>
          <w:szCs w:val="20"/>
          <w:lang w:bidi="en-US"/>
        </w:rPr>
        <w:t xml:space="preserve"> package insert.</w:t>
      </w:r>
      <w:r w:rsidR="00B36AE9" w:rsidRPr="008B66CF">
        <w:rPr>
          <w:rFonts w:ascii="Futura" w:eastAsia="Calibri" w:hAnsi="Futura" w:cs="Calibri"/>
          <w:color w:val="000000"/>
          <w:sz w:val="20"/>
          <w:szCs w:val="20"/>
          <w:lang w:bidi="en-US"/>
        </w:rPr>
        <w:t xml:space="preserve">  </w:t>
      </w:r>
      <w:hyperlink r:id="rId14" w:history="1">
        <w:r w:rsidR="00745810">
          <w:rPr>
            <w:rStyle w:val="Hyperlink"/>
            <w:rFonts w:ascii="Futura" w:eastAsia="Calibri" w:hAnsi="Futura" w:cs="Calibri"/>
            <w:sz w:val="20"/>
            <w:szCs w:val="20"/>
            <w:lang w:bidi="en-US"/>
          </w:rPr>
          <w:t>https://www.accessdata.fda.gov/drugsatfda_docs/label/2024/761074s030lbl.pdf</w:t>
        </w:r>
      </w:hyperlink>
    </w:p>
    <w:p w14:paraId="6E40A929" w14:textId="3B73411B" w:rsidR="006905E1" w:rsidRPr="008B66CF" w:rsidRDefault="005A1E9B"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Ontruzant</w:t>
      </w:r>
      <w:r w:rsidR="006905E1" w:rsidRPr="008B66CF">
        <w:rPr>
          <w:rFonts w:ascii="Futura" w:eastAsia="Calibri" w:hAnsi="Futura" w:cs="Calibri"/>
          <w:color w:val="000000"/>
          <w:sz w:val="20"/>
          <w:szCs w:val="20"/>
          <w:lang w:bidi="en-US"/>
        </w:rPr>
        <w:t xml:space="preserve"> package insert. </w:t>
      </w:r>
      <w:hyperlink r:id="rId15" w:history="1">
        <w:r w:rsidR="00C02BFE">
          <w:rPr>
            <w:rStyle w:val="Hyperlink"/>
            <w:rFonts w:ascii="Futura" w:eastAsia="Calibri" w:hAnsi="Futura" w:cs="Calibri"/>
            <w:sz w:val="20"/>
            <w:szCs w:val="20"/>
            <w:lang w:bidi="en-US"/>
          </w:rPr>
          <w:t>https://www.accessdata.fda.gov/drugsatfda_docs/label/2020/761100Orig1s005Lbl.pdf</w:t>
        </w:r>
      </w:hyperlink>
    </w:p>
    <w:p w14:paraId="41A66BAD" w14:textId="1808AF98" w:rsidR="006905E1" w:rsidRPr="008B66CF" w:rsidRDefault="005A1E9B" w:rsidP="006A4B3F">
      <w:pPr>
        <w:pStyle w:val="ListParagraph"/>
        <w:numPr>
          <w:ilvl w:val="0"/>
          <w:numId w:val="1"/>
        </w:numPr>
        <w:spacing w:after="0" w:line="240" w:lineRule="auto"/>
        <w:rPr>
          <w:rFonts w:ascii="Futura" w:eastAsia="Calibri" w:hAnsi="Futura" w:cs="Calibri"/>
          <w:color w:val="000000"/>
          <w:sz w:val="20"/>
          <w:szCs w:val="20"/>
          <w:lang w:bidi="en-US"/>
        </w:rPr>
      </w:pPr>
      <w:r>
        <w:rPr>
          <w:rFonts w:ascii="Futura" w:eastAsia="Calibri" w:hAnsi="Futura" w:cs="Calibri"/>
          <w:color w:val="000000"/>
          <w:sz w:val="20"/>
          <w:szCs w:val="20"/>
          <w:lang w:bidi="en-US"/>
        </w:rPr>
        <w:t>Hercessi</w:t>
      </w:r>
      <w:r w:rsidR="006905E1" w:rsidRPr="008B66CF">
        <w:rPr>
          <w:rFonts w:ascii="Futura" w:eastAsia="Calibri" w:hAnsi="Futura" w:cs="Calibri"/>
          <w:color w:val="000000"/>
          <w:sz w:val="20"/>
          <w:szCs w:val="20"/>
          <w:lang w:bidi="en-US"/>
        </w:rPr>
        <w:t xml:space="preserve"> package insert. </w:t>
      </w:r>
      <w:hyperlink r:id="rId16" w:history="1">
        <w:r w:rsidR="00F01AB9">
          <w:rPr>
            <w:rStyle w:val="Hyperlink"/>
            <w:rFonts w:ascii="Futura" w:eastAsia="Calibri" w:hAnsi="Futura" w:cs="Calibri"/>
            <w:sz w:val="20"/>
            <w:szCs w:val="20"/>
            <w:lang w:bidi="en-US"/>
          </w:rPr>
          <w:t>https://www.accessdata.fda.gov/drugsatfda_docs/label/2024/761346Orig1s000lbl.pdf</w:t>
        </w:r>
      </w:hyperlink>
    </w:p>
    <w:p w14:paraId="2A62542D" w14:textId="0E05B082" w:rsidR="00FA7C17" w:rsidRPr="00F64756" w:rsidRDefault="00F64756" w:rsidP="006A4B3F">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eternalHealth Medicare Part B Prior Authorization List.  </w:t>
      </w:r>
      <w:hyperlink r:id="rId17"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6A4B3F">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8"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F6B5F"/>
    <w:multiLevelType w:val="hybridMultilevel"/>
    <w:tmpl w:val="E640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65964">
    <w:abstractNumId w:val="0"/>
  </w:num>
  <w:num w:numId="2" w16cid:durableId="31996377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1"/>
  </w:num>
  <w:num w:numId="4" w16cid:durableId="3277846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2194"/>
    <w:rsid w:val="00002541"/>
    <w:rsid w:val="00006F2B"/>
    <w:rsid w:val="000216B1"/>
    <w:rsid w:val="00050288"/>
    <w:rsid w:val="0005293D"/>
    <w:rsid w:val="00055090"/>
    <w:rsid w:val="00070C3E"/>
    <w:rsid w:val="000778F1"/>
    <w:rsid w:val="00084B4D"/>
    <w:rsid w:val="00087AC4"/>
    <w:rsid w:val="000951BF"/>
    <w:rsid w:val="00095439"/>
    <w:rsid w:val="000A72D9"/>
    <w:rsid w:val="000C7E39"/>
    <w:rsid w:val="000D5D23"/>
    <w:rsid w:val="000E48B4"/>
    <w:rsid w:val="000F0644"/>
    <w:rsid w:val="000F5645"/>
    <w:rsid w:val="00102484"/>
    <w:rsid w:val="0010271C"/>
    <w:rsid w:val="00110ABA"/>
    <w:rsid w:val="00111DE8"/>
    <w:rsid w:val="00111E83"/>
    <w:rsid w:val="00114DFB"/>
    <w:rsid w:val="00121A5D"/>
    <w:rsid w:val="0013315A"/>
    <w:rsid w:val="00146F48"/>
    <w:rsid w:val="001505D9"/>
    <w:rsid w:val="00151F12"/>
    <w:rsid w:val="00163B05"/>
    <w:rsid w:val="00170C53"/>
    <w:rsid w:val="00171031"/>
    <w:rsid w:val="00171CC3"/>
    <w:rsid w:val="001732AA"/>
    <w:rsid w:val="0017367D"/>
    <w:rsid w:val="0017549C"/>
    <w:rsid w:val="0018090B"/>
    <w:rsid w:val="0018204C"/>
    <w:rsid w:val="001A17A5"/>
    <w:rsid w:val="001A72F0"/>
    <w:rsid w:val="001A7837"/>
    <w:rsid w:val="001C3AA0"/>
    <w:rsid w:val="001C6D04"/>
    <w:rsid w:val="001D184A"/>
    <w:rsid w:val="001D3758"/>
    <w:rsid w:val="001D485D"/>
    <w:rsid w:val="001D52B4"/>
    <w:rsid w:val="001F2395"/>
    <w:rsid w:val="002068E2"/>
    <w:rsid w:val="00217E56"/>
    <w:rsid w:val="00222323"/>
    <w:rsid w:val="00225DEA"/>
    <w:rsid w:val="00232169"/>
    <w:rsid w:val="00234EA0"/>
    <w:rsid w:val="00244FDD"/>
    <w:rsid w:val="00255C58"/>
    <w:rsid w:val="00261E9C"/>
    <w:rsid w:val="00267D2D"/>
    <w:rsid w:val="00270308"/>
    <w:rsid w:val="00277C44"/>
    <w:rsid w:val="00282EC9"/>
    <w:rsid w:val="00284C10"/>
    <w:rsid w:val="0029343B"/>
    <w:rsid w:val="002B2E6E"/>
    <w:rsid w:val="002B3DD1"/>
    <w:rsid w:val="002C19CE"/>
    <w:rsid w:val="002C661D"/>
    <w:rsid w:val="002C7A14"/>
    <w:rsid w:val="002D3FFC"/>
    <w:rsid w:val="002E7BF7"/>
    <w:rsid w:val="002F4966"/>
    <w:rsid w:val="00310B8F"/>
    <w:rsid w:val="00311667"/>
    <w:rsid w:val="00311AED"/>
    <w:rsid w:val="00320403"/>
    <w:rsid w:val="00323429"/>
    <w:rsid w:val="0033442B"/>
    <w:rsid w:val="00337661"/>
    <w:rsid w:val="00354530"/>
    <w:rsid w:val="00360FBC"/>
    <w:rsid w:val="00362E72"/>
    <w:rsid w:val="0036645E"/>
    <w:rsid w:val="00370721"/>
    <w:rsid w:val="00372252"/>
    <w:rsid w:val="00375509"/>
    <w:rsid w:val="0038314B"/>
    <w:rsid w:val="00384870"/>
    <w:rsid w:val="003850AC"/>
    <w:rsid w:val="003A3BE8"/>
    <w:rsid w:val="003B405F"/>
    <w:rsid w:val="003C7F01"/>
    <w:rsid w:val="003E1B92"/>
    <w:rsid w:val="003E5ADF"/>
    <w:rsid w:val="003E698F"/>
    <w:rsid w:val="003E7FAE"/>
    <w:rsid w:val="003F0AB1"/>
    <w:rsid w:val="003F6095"/>
    <w:rsid w:val="00400AA7"/>
    <w:rsid w:val="00401E90"/>
    <w:rsid w:val="004057BB"/>
    <w:rsid w:val="00405835"/>
    <w:rsid w:val="00407604"/>
    <w:rsid w:val="0041548D"/>
    <w:rsid w:val="0041776D"/>
    <w:rsid w:val="004219F6"/>
    <w:rsid w:val="0043033F"/>
    <w:rsid w:val="00436A19"/>
    <w:rsid w:val="00436E7B"/>
    <w:rsid w:val="00446EA0"/>
    <w:rsid w:val="00452D0D"/>
    <w:rsid w:val="00466972"/>
    <w:rsid w:val="00467FD5"/>
    <w:rsid w:val="00474DCE"/>
    <w:rsid w:val="004807F3"/>
    <w:rsid w:val="0048304F"/>
    <w:rsid w:val="00485617"/>
    <w:rsid w:val="004876ED"/>
    <w:rsid w:val="00497B99"/>
    <w:rsid w:val="004A6CAF"/>
    <w:rsid w:val="004B711A"/>
    <w:rsid w:val="004B7D0A"/>
    <w:rsid w:val="004B7D63"/>
    <w:rsid w:val="004C0644"/>
    <w:rsid w:val="004C0821"/>
    <w:rsid w:val="004C4D99"/>
    <w:rsid w:val="004C4ECA"/>
    <w:rsid w:val="004D2348"/>
    <w:rsid w:val="004D2403"/>
    <w:rsid w:val="004E3731"/>
    <w:rsid w:val="004E3830"/>
    <w:rsid w:val="004F0D94"/>
    <w:rsid w:val="004F3B63"/>
    <w:rsid w:val="004F56DC"/>
    <w:rsid w:val="004F5EE3"/>
    <w:rsid w:val="004F6CF7"/>
    <w:rsid w:val="005027EC"/>
    <w:rsid w:val="00510459"/>
    <w:rsid w:val="0051220F"/>
    <w:rsid w:val="005226EB"/>
    <w:rsid w:val="005269B9"/>
    <w:rsid w:val="005372E4"/>
    <w:rsid w:val="00541A38"/>
    <w:rsid w:val="00541FB8"/>
    <w:rsid w:val="00542D9D"/>
    <w:rsid w:val="0055003C"/>
    <w:rsid w:val="00554794"/>
    <w:rsid w:val="00563F86"/>
    <w:rsid w:val="00564D9D"/>
    <w:rsid w:val="00574C5A"/>
    <w:rsid w:val="00581FB0"/>
    <w:rsid w:val="00587BC5"/>
    <w:rsid w:val="00596AA0"/>
    <w:rsid w:val="005A1E9B"/>
    <w:rsid w:val="005A4D07"/>
    <w:rsid w:val="005A5076"/>
    <w:rsid w:val="005B1B78"/>
    <w:rsid w:val="005B5D37"/>
    <w:rsid w:val="005B66F8"/>
    <w:rsid w:val="005C3DC3"/>
    <w:rsid w:val="005D0A2F"/>
    <w:rsid w:val="005E4173"/>
    <w:rsid w:val="00627E28"/>
    <w:rsid w:val="0063092D"/>
    <w:rsid w:val="006315C5"/>
    <w:rsid w:val="00633F2F"/>
    <w:rsid w:val="00643E03"/>
    <w:rsid w:val="00644051"/>
    <w:rsid w:val="00645EAC"/>
    <w:rsid w:val="00647389"/>
    <w:rsid w:val="006502EC"/>
    <w:rsid w:val="006522B1"/>
    <w:rsid w:val="00652714"/>
    <w:rsid w:val="006661F8"/>
    <w:rsid w:val="00671635"/>
    <w:rsid w:val="00672EF0"/>
    <w:rsid w:val="006747AA"/>
    <w:rsid w:val="00682D71"/>
    <w:rsid w:val="006837C1"/>
    <w:rsid w:val="006905E1"/>
    <w:rsid w:val="006A4B3F"/>
    <w:rsid w:val="006A5EBF"/>
    <w:rsid w:val="006C2777"/>
    <w:rsid w:val="006C570F"/>
    <w:rsid w:val="006C791A"/>
    <w:rsid w:val="006D4720"/>
    <w:rsid w:val="006E1546"/>
    <w:rsid w:val="006E2283"/>
    <w:rsid w:val="006E7273"/>
    <w:rsid w:val="0070226E"/>
    <w:rsid w:val="00702342"/>
    <w:rsid w:val="00705F98"/>
    <w:rsid w:val="00715331"/>
    <w:rsid w:val="0071688B"/>
    <w:rsid w:val="007230EC"/>
    <w:rsid w:val="0072344F"/>
    <w:rsid w:val="0072503A"/>
    <w:rsid w:val="007301A3"/>
    <w:rsid w:val="007320D1"/>
    <w:rsid w:val="00740D32"/>
    <w:rsid w:val="00741603"/>
    <w:rsid w:val="00741841"/>
    <w:rsid w:val="00742CF1"/>
    <w:rsid w:val="00745810"/>
    <w:rsid w:val="00745EEC"/>
    <w:rsid w:val="00747DAE"/>
    <w:rsid w:val="00754158"/>
    <w:rsid w:val="00760A91"/>
    <w:rsid w:val="007610DB"/>
    <w:rsid w:val="00764E03"/>
    <w:rsid w:val="007812DC"/>
    <w:rsid w:val="007A409D"/>
    <w:rsid w:val="007A411C"/>
    <w:rsid w:val="007A6AD5"/>
    <w:rsid w:val="007B4386"/>
    <w:rsid w:val="007B4B49"/>
    <w:rsid w:val="007C25F4"/>
    <w:rsid w:val="007C5A44"/>
    <w:rsid w:val="007D2D36"/>
    <w:rsid w:val="007E38D8"/>
    <w:rsid w:val="007F4F63"/>
    <w:rsid w:val="00811596"/>
    <w:rsid w:val="008169B9"/>
    <w:rsid w:val="00821D58"/>
    <w:rsid w:val="008224A5"/>
    <w:rsid w:val="00827A7B"/>
    <w:rsid w:val="00832A58"/>
    <w:rsid w:val="00833D5F"/>
    <w:rsid w:val="00834861"/>
    <w:rsid w:val="00835DAB"/>
    <w:rsid w:val="00853AE4"/>
    <w:rsid w:val="008562BA"/>
    <w:rsid w:val="00856D17"/>
    <w:rsid w:val="00867E8D"/>
    <w:rsid w:val="00883B3D"/>
    <w:rsid w:val="00890705"/>
    <w:rsid w:val="00892C1A"/>
    <w:rsid w:val="00892F25"/>
    <w:rsid w:val="008A7D57"/>
    <w:rsid w:val="008B38E2"/>
    <w:rsid w:val="008B66CF"/>
    <w:rsid w:val="008C42AD"/>
    <w:rsid w:val="008C77C2"/>
    <w:rsid w:val="008D39C3"/>
    <w:rsid w:val="008D3BB4"/>
    <w:rsid w:val="008E134A"/>
    <w:rsid w:val="008E1C8A"/>
    <w:rsid w:val="008E33BB"/>
    <w:rsid w:val="008F1491"/>
    <w:rsid w:val="008F3574"/>
    <w:rsid w:val="008F6DA5"/>
    <w:rsid w:val="008F7EDA"/>
    <w:rsid w:val="0090595D"/>
    <w:rsid w:val="00917608"/>
    <w:rsid w:val="0092568E"/>
    <w:rsid w:val="00930C83"/>
    <w:rsid w:val="00934560"/>
    <w:rsid w:val="0093575C"/>
    <w:rsid w:val="00944973"/>
    <w:rsid w:val="00955165"/>
    <w:rsid w:val="009551AB"/>
    <w:rsid w:val="00956728"/>
    <w:rsid w:val="00962F45"/>
    <w:rsid w:val="0096655A"/>
    <w:rsid w:val="00967F85"/>
    <w:rsid w:val="00972E5F"/>
    <w:rsid w:val="00973896"/>
    <w:rsid w:val="00977B41"/>
    <w:rsid w:val="009815F3"/>
    <w:rsid w:val="0098253C"/>
    <w:rsid w:val="00984FC0"/>
    <w:rsid w:val="00997735"/>
    <w:rsid w:val="009A1FD0"/>
    <w:rsid w:val="009A5611"/>
    <w:rsid w:val="009A65B2"/>
    <w:rsid w:val="009A7E8B"/>
    <w:rsid w:val="009B0030"/>
    <w:rsid w:val="009B2EC7"/>
    <w:rsid w:val="009C1F2E"/>
    <w:rsid w:val="009C2524"/>
    <w:rsid w:val="009C7DD7"/>
    <w:rsid w:val="009D3A65"/>
    <w:rsid w:val="009E5E17"/>
    <w:rsid w:val="009F51BE"/>
    <w:rsid w:val="009F67D8"/>
    <w:rsid w:val="009F7E38"/>
    <w:rsid w:val="00A05151"/>
    <w:rsid w:val="00A06D28"/>
    <w:rsid w:val="00A31EC2"/>
    <w:rsid w:val="00A46203"/>
    <w:rsid w:val="00A510FE"/>
    <w:rsid w:val="00A52B40"/>
    <w:rsid w:val="00A54A77"/>
    <w:rsid w:val="00A653B4"/>
    <w:rsid w:val="00A674D1"/>
    <w:rsid w:val="00A74550"/>
    <w:rsid w:val="00A77887"/>
    <w:rsid w:val="00A8078C"/>
    <w:rsid w:val="00A85AC1"/>
    <w:rsid w:val="00A862D2"/>
    <w:rsid w:val="00A9620B"/>
    <w:rsid w:val="00AA09A0"/>
    <w:rsid w:val="00AB352A"/>
    <w:rsid w:val="00AB6317"/>
    <w:rsid w:val="00AC208E"/>
    <w:rsid w:val="00AC3D96"/>
    <w:rsid w:val="00AE372C"/>
    <w:rsid w:val="00B02432"/>
    <w:rsid w:val="00B125DE"/>
    <w:rsid w:val="00B15188"/>
    <w:rsid w:val="00B15619"/>
    <w:rsid w:val="00B17714"/>
    <w:rsid w:val="00B23FE9"/>
    <w:rsid w:val="00B30CF8"/>
    <w:rsid w:val="00B317BA"/>
    <w:rsid w:val="00B34984"/>
    <w:rsid w:val="00B36AE9"/>
    <w:rsid w:val="00B413BB"/>
    <w:rsid w:val="00B60BDE"/>
    <w:rsid w:val="00B77D2D"/>
    <w:rsid w:val="00B816C0"/>
    <w:rsid w:val="00B8376A"/>
    <w:rsid w:val="00B85E44"/>
    <w:rsid w:val="00B864D2"/>
    <w:rsid w:val="00B87B8F"/>
    <w:rsid w:val="00B87C5F"/>
    <w:rsid w:val="00B92C2A"/>
    <w:rsid w:val="00B9346B"/>
    <w:rsid w:val="00B945C9"/>
    <w:rsid w:val="00BA7316"/>
    <w:rsid w:val="00BB10D4"/>
    <w:rsid w:val="00BB3294"/>
    <w:rsid w:val="00BC07B2"/>
    <w:rsid w:val="00BC0C87"/>
    <w:rsid w:val="00BD0487"/>
    <w:rsid w:val="00BD3E6B"/>
    <w:rsid w:val="00BE6FAE"/>
    <w:rsid w:val="00BF3791"/>
    <w:rsid w:val="00C02BFE"/>
    <w:rsid w:val="00C05623"/>
    <w:rsid w:val="00C11803"/>
    <w:rsid w:val="00C11B4C"/>
    <w:rsid w:val="00C142D2"/>
    <w:rsid w:val="00C15C77"/>
    <w:rsid w:val="00C23085"/>
    <w:rsid w:val="00C2471A"/>
    <w:rsid w:val="00C3132D"/>
    <w:rsid w:val="00C3149B"/>
    <w:rsid w:val="00C439A1"/>
    <w:rsid w:val="00C5183F"/>
    <w:rsid w:val="00C523F4"/>
    <w:rsid w:val="00C71E74"/>
    <w:rsid w:val="00C82C80"/>
    <w:rsid w:val="00C84EFE"/>
    <w:rsid w:val="00C86425"/>
    <w:rsid w:val="00C9120D"/>
    <w:rsid w:val="00C96407"/>
    <w:rsid w:val="00CA4636"/>
    <w:rsid w:val="00CB0EDA"/>
    <w:rsid w:val="00CB4D37"/>
    <w:rsid w:val="00CB5E28"/>
    <w:rsid w:val="00CC2B10"/>
    <w:rsid w:val="00CD2097"/>
    <w:rsid w:val="00CD610B"/>
    <w:rsid w:val="00CD64B2"/>
    <w:rsid w:val="00CD77BC"/>
    <w:rsid w:val="00CE20F1"/>
    <w:rsid w:val="00CE393E"/>
    <w:rsid w:val="00CE56FF"/>
    <w:rsid w:val="00CE5A4B"/>
    <w:rsid w:val="00CF0A83"/>
    <w:rsid w:val="00CF1F36"/>
    <w:rsid w:val="00D001BF"/>
    <w:rsid w:val="00D0049A"/>
    <w:rsid w:val="00D0674C"/>
    <w:rsid w:val="00D13DDD"/>
    <w:rsid w:val="00D242BA"/>
    <w:rsid w:val="00D25F21"/>
    <w:rsid w:val="00D26F9F"/>
    <w:rsid w:val="00D319BA"/>
    <w:rsid w:val="00D33CB7"/>
    <w:rsid w:val="00D35663"/>
    <w:rsid w:val="00D41FEF"/>
    <w:rsid w:val="00D7097F"/>
    <w:rsid w:val="00D85742"/>
    <w:rsid w:val="00D9029B"/>
    <w:rsid w:val="00DA133F"/>
    <w:rsid w:val="00DB19EA"/>
    <w:rsid w:val="00DB4210"/>
    <w:rsid w:val="00DB428A"/>
    <w:rsid w:val="00DC1B0C"/>
    <w:rsid w:val="00DD1951"/>
    <w:rsid w:val="00DF38F3"/>
    <w:rsid w:val="00DF6D2E"/>
    <w:rsid w:val="00E01AE9"/>
    <w:rsid w:val="00E03060"/>
    <w:rsid w:val="00E1012C"/>
    <w:rsid w:val="00E15732"/>
    <w:rsid w:val="00E22BA1"/>
    <w:rsid w:val="00E36BFB"/>
    <w:rsid w:val="00E36E50"/>
    <w:rsid w:val="00E412FB"/>
    <w:rsid w:val="00E42974"/>
    <w:rsid w:val="00E51E1F"/>
    <w:rsid w:val="00E55558"/>
    <w:rsid w:val="00E70CA5"/>
    <w:rsid w:val="00E768B3"/>
    <w:rsid w:val="00E96D83"/>
    <w:rsid w:val="00EB5152"/>
    <w:rsid w:val="00ED3544"/>
    <w:rsid w:val="00ED739E"/>
    <w:rsid w:val="00EE2944"/>
    <w:rsid w:val="00EE7D5B"/>
    <w:rsid w:val="00EF0772"/>
    <w:rsid w:val="00EF112B"/>
    <w:rsid w:val="00EF30F2"/>
    <w:rsid w:val="00EF60ED"/>
    <w:rsid w:val="00F01AB9"/>
    <w:rsid w:val="00F01C58"/>
    <w:rsid w:val="00F034BA"/>
    <w:rsid w:val="00F114E0"/>
    <w:rsid w:val="00F11EF3"/>
    <w:rsid w:val="00F1311D"/>
    <w:rsid w:val="00F13FFD"/>
    <w:rsid w:val="00F1578C"/>
    <w:rsid w:val="00F304BD"/>
    <w:rsid w:val="00F360A6"/>
    <w:rsid w:val="00F36C54"/>
    <w:rsid w:val="00F36E89"/>
    <w:rsid w:val="00F4152B"/>
    <w:rsid w:val="00F45E5D"/>
    <w:rsid w:val="00F524DA"/>
    <w:rsid w:val="00F52D8E"/>
    <w:rsid w:val="00F57795"/>
    <w:rsid w:val="00F57F03"/>
    <w:rsid w:val="00F57FC9"/>
    <w:rsid w:val="00F64756"/>
    <w:rsid w:val="00F64ED3"/>
    <w:rsid w:val="00F71626"/>
    <w:rsid w:val="00F94EF6"/>
    <w:rsid w:val="00F95A1F"/>
    <w:rsid w:val="00F96E21"/>
    <w:rsid w:val="00F97CFE"/>
    <w:rsid w:val="00FA3D8A"/>
    <w:rsid w:val="00FA4408"/>
    <w:rsid w:val="00FA7C17"/>
    <w:rsid w:val="00FB35AF"/>
    <w:rsid w:val="00FB396E"/>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4007">
      <w:bodyDiv w:val="1"/>
      <w:marLeft w:val="0"/>
      <w:marRight w:val="0"/>
      <w:marTop w:val="0"/>
      <w:marBottom w:val="0"/>
      <w:divBdr>
        <w:top w:val="none" w:sz="0" w:space="0" w:color="auto"/>
        <w:left w:val="none" w:sz="0" w:space="0" w:color="auto"/>
        <w:bottom w:val="none" w:sz="0" w:space="0" w:color="auto"/>
        <w:right w:val="none" w:sz="0" w:space="0" w:color="auto"/>
      </w:divBdr>
      <w:divsChild>
        <w:div w:id="2053990636">
          <w:marLeft w:val="0"/>
          <w:marRight w:val="0"/>
          <w:marTop w:val="0"/>
          <w:marBottom w:val="0"/>
          <w:divBdr>
            <w:top w:val="none" w:sz="0" w:space="0" w:color="auto"/>
            <w:left w:val="none" w:sz="0" w:space="0" w:color="auto"/>
            <w:bottom w:val="none" w:sz="0" w:space="0" w:color="auto"/>
            <w:right w:val="none" w:sz="0" w:space="0" w:color="auto"/>
          </w:divBdr>
          <w:divsChild>
            <w:div w:id="1100563442">
              <w:marLeft w:val="0"/>
              <w:marRight w:val="0"/>
              <w:marTop w:val="216"/>
              <w:marBottom w:val="0"/>
              <w:divBdr>
                <w:top w:val="dashed" w:sz="6" w:space="0" w:color="auto"/>
                <w:left w:val="none" w:sz="0" w:space="0" w:color="auto"/>
                <w:bottom w:val="none" w:sz="0" w:space="0" w:color="auto"/>
                <w:right w:val="none" w:sz="0" w:space="0" w:color="auto"/>
              </w:divBdr>
              <w:divsChild>
                <w:div w:id="315914871">
                  <w:marLeft w:val="0"/>
                  <w:marRight w:val="0"/>
                  <w:marTop w:val="0"/>
                  <w:marBottom w:val="0"/>
                  <w:divBdr>
                    <w:top w:val="none" w:sz="0" w:space="0" w:color="auto"/>
                    <w:left w:val="none" w:sz="0" w:space="0" w:color="auto"/>
                    <w:bottom w:val="none" w:sz="0" w:space="0" w:color="auto"/>
                    <w:right w:val="none" w:sz="0" w:space="0" w:color="auto"/>
                  </w:divBdr>
                </w:div>
              </w:divsChild>
            </w:div>
            <w:div w:id="1991251379">
              <w:marLeft w:val="0"/>
              <w:marRight w:val="0"/>
              <w:marTop w:val="216"/>
              <w:marBottom w:val="0"/>
              <w:divBdr>
                <w:top w:val="dashed" w:sz="6" w:space="0" w:color="auto"/>
                <w:left w:val="none" w:sz="0" w:space="0" w:color="auto"/>
                <w:bottom w:val="none" w:sz="0" w:space="0" w:color="auto"/>
                <w:right w:val="none" w:sz="0" w:space="0" w:color="auto"/>
              </w:divBdr>
            </w:div>
          </w:divsChild>
        </w:div>
        <w:div w:id="732313953">
          <w:marLeft w:val="0"/>
          <w:marRight w:val="0"/>
          <w:marTop w:val="0"/>
          <w:marBottom w:val="0"/>
          <w:divBdr>
            <w:top w:val="none" w:sz="0" w:space="0" w:color="auto"/>
            <w:left w:val="none" w:sz="0" w:space="0" w:color="auto"/>
            <w:bottom w:val="none" w:sz="0" w:space="0" w:color="auto"/>
            <w:right w:val="none" w:sz="0" w:space="0" w:color="auto"/>
          </w:divBdr>
          <w:divsChild>
            <w:div w:id="1361786892">
              <w:marLeft w:val="0"/>
              <w:marRight w:val="0"/>
              <w:marTop w:val="0"/>
              <w:marBottom w:val="0"/>
              <w:divBdr>
                <w:top w:val="none" w:sz="0" w:space="0" w:color="auto"/>
                <w:left w:val="none" w:sz="0" w:space="0" w:color="auto"/>
                <w:bottom w:val="none" w:sz="0" w:space="0" w:color="auto"/>
                <w:right w:val="none" w:sz="0" w:space="0" w:color="auto"/>
              </w:divBdr>
              <w:divsChild>
                <w:div w:id="10271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837621397">
      <w:bodyDiv w:val="1"/>
      <w:marLeft w:val="0"/>
      <w:marRight w:val="0"/>
      <w:marTop w:val="0"/>
      <w:marBottom w:val="0"/>
      <w:divBdr>
        <w:top w:val="none" w:sz="0" w:space="0" w:color="auto"/>
        <w:left w:val="none" w:sz="0" w:space="0" w:color="auto"/>
        <w:bottom w:val="none" w:sz="0" w:space="0" w:color="auto"/>
        <w:right w:val="none" w:sz="0" w:space="0" w:color="auto"/>
      </w:divBdr>
      <w:divsChild>
        <w:div w:id="908809419">
          <w:marLeft w:val="0"/>
          <w:marRight w:val="0"/>
          <w:marTop w:val="0"/>
          <w:marBottom w:val="0"/>
          <w:divBdr>
            <w:top w:val="none" w:sz="0" w:space="0" w:color="auto"/>
            <w:left w:val="none" w:sz="0" w:space="0" w:color="auto"/>
            <w:bottom w:val="none" w:sz="0" w:space="0" w:color="auto"/>
            <w:right w:val="none" w:sz="0" w:space="0" w:color="auto"/>
          </w:divBdr>
          <w:divsChild>
            <w:div w:id="138883441">
              <w:marLeft w:val="0"/>
              <w:marRight w:val="0"/>
              <w:marTop w:val="216"/>
              <w:marBottom w:val="0"/>
              <w:divBdr>
                <w:top w:val="dashed" w:sz="6" w:space="0" w:color="auto"/>
                <w:left w:val="none" w:sz="0" w:space="0" w:color="auto"/>
                <w:bottom w:val="none" w:sz="0" w:space="0" w:color="auto"/>
                <w:right w:val="none" w:sz="0" w:space="0" w:color="auto"/>
              </w:divBdr>
              <w:divsChild>
                <w:div w:id="1678075197">
                  <w:marLeft w:val="0"/>
                  <w:marRight w:val="0"/>
                  <w:marTop w:val="0"/>
                  <w:marBottom w:val="0"/>
                  <w:divBdr>
                    <w:top w:val="none" w:sz="0" w:space="0" w:color="auto"/>
                    <w:left w:val="none" w:sz="0" w:space="0" w:color="auto"/>
                    <w:bottom w:val="none" w:sz="0" w:space="0" w:color="auto"/>
                    <w:right w:val="none" w:sz="0" w:space="0" w:color="auto"/>
                  </w:divBdr>
                </w:div>
              </w:divsChild>
            </w:div>
            <w:div w:id="1244266697">
              <w:marLeft w:val="0"/>
              <w:marRight w:val="0"/>
              <w:marTop w:val="216"/>
              <w:marBottom w:val="0"/>
              <w:divBdr>
                <w:top w:val="dashed" w:sz="6" w:space="0" w:color="auto"/>
                <w:left w:val="none" w:sz="0" w:space="0" w:color="auto"/>
                <w:bottom w:val="none" w:sz="0" w:space="0" w:color="auto"/>
                <w:right w:val="none" w:sz="0" w:space="0" w:color="auto"/>
              </w:divBdr>
            </w:div>
          </w:divsChild>
        </w:div>
        <w:div w:id="1578519065">
          <w:marLeft w:val="0"/>
          <w:marRight w:val="0"/>
          <w:marTop w:val="0"/>
          <w:marBottom w:val="0"/>
          <w:divBdr>
            <w:top w:val="none" w:sz="0" w:space="0" w:color="auto"/>
            <w:left w:val="none" w:sz="0" w:space="0" w:color="auto"/>
            <w:bottom w:val="none" w:sz="0" w:space="0" w:color="auto"/>
            <w:right w:val="none" w:sz="0" w:space="0" w:color="auto"/>
          </w:divBdr>
          <w:divsChild>
            <w:div w:id="274290740">
              <w:marLeft w:val="0"/>
              <w:marRight w:val="0"/>
              <w:marTop w:val="0"/>
              <w:marBottom w:val="0"/>
              <w:divBdr>
                <w:top w:val="none" w:sz="0" w:space="0" w:color="auto"/>
                <w:left w:val="none" w:sz="0" w:space="0" w:color="auto"/>
                <w:bottom w:val="none" w:sz="0" w:space="0" w:color="auto"/>
                <w:right w:val="none" w:sz="0" w:space="0" w:color="auto"/>
              </w:divBdr>
              <w:divsChild>
                <w:div w:id="6097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454596163">
      <w:bodyDiv w:val="1"/>
      <w:marLeft w:val="0"/>
      <w:marRight w:val="0"/>
      <w:marTop w:val="0"/>
      <w:marBottom w:val="0"/>
      <w:divBdr>
        <w:top w:val="none" w:sz="0" w:space="0" w:color="auto"/>
        <w:left w:val="none" w:sz="0" w:space="0" w:color="auto"/>
        <w:bottom w:val="none" w:sz="0" w:space="0" w:color="auto"/>
        <w:right w:val="none" w:sz="0" w:space="0" w:color="auto"/>
      </w:divBdr>
    </w:div>
    <w:div w:id="1743527792">
      <w:bodyDiv w:val="1"/>
      <w:marLeft w:val="0"/>
      <w:marRight w:val="0"/>
      <w:marTop w:val="0"/>
      <w:marBottom w:val="0"/>
      <w:divBdr>
        <w:top w:val="none" w:sz="0" w:space="0" w:color="auto"/>
        <w:left w:val="none" w:sz="0" w:space="0" w:color="auto"/>
        <w:bottom w:val="none" w:sz="0" w:space="0" w:color="auto"/>
        <w:right w:val="none" w:sz="0" w:space="0" w:color="auto"/>
      </w:divBdr>
      <w:divsChild>
        <w:div w:id="1768650248">
          <w:marLeft w:val="0"/>
          <w:marRight w:val="0"/>
          <w:marTop w:val="0"/>
          <w:marBottom w:val="0"/>
          <w:divBdr>
            <w:top w:val="none" w:sz="0" w:space="0" w:color="auto"/>
            <w:left w:val="none" w:sz="0" w:space="0" w:color="auto"/>
            <w:bottom w:val="none" w:sz="0" w:space="0" w:color="auto"/>
            <w:right w:val="none" w:sz="0" w:space="0" w:color="auto"/>
          </w:divBdr>
          <w:divsChild>
            <w:div w:id="1490051784">
              <w:marLeft w:val="0"/>
              <w:marRight w:val="0"/>
              <w:marTop w:val="216"/>
              <w:marBottom w:val="0"/>
              <w:divBdr>
                <w:top w:val="dashed" w:sz="6" w:space="0" w:color="auto"/>
                <w:left w:val="none" w:sz="0" w:space="0" w:color="auto"/>
                <w:bottom w:val="none" w:sz="0" w:space="0" w:color="auto"/>
                <w:right w:val="none" w:sz="0" w:space="0" w:color="auto"/>
              </w:divBdr>
              <w:divsChild>
                <w:div w:id="515852359">
                  <w:marLeft w:val="0"/>
                  <w:marRight w:val="0"/>
                  <w:marTop w:val="0"/>
                  <w:marBottom w:val="0"/>
                  <w:divBdr>
                    <w:top w:val="none" w:sz="0" w:space="0" w:color="auto"/>
                    <w:left w:val="none" w:sz="0" w:space="0" w:color="auto"/>
                    <w:bottom w:val="none" w:sz="0" w:space="0" w:color="auto"/>
                    <w:right w:val="none" w:sz="0" w:space="0" w:color="auto"/>
                  </w:divBdr>
                </w:div>
              </w:divsChild>
            </w:div>
            <w:div w:id="1309364412">
              <w:marLeft w:val="0"/>
              <w:marRight w:val="0"/>
              <w:marTop w:val="216"/>
              <w:marBottom w:val="0"/>
              <w:divBdr>
                <w:top w:val="dashed" w:sz="6" w:space="0" w:color="auto"/>
                <w:left w:val="none" w:sz="0" w:space="0" w:color="auto"/>
                <w:bottom w:val="none" w:sz="0" w:space="0" w:color="auto"/>
                <w:right w:val="none" w:sz="0" w:space="0" w:color="auto"/>
              </w:divBdr>
            </w:div>
          </w:divsChild>
        </w:div>
        <w:div w:id="1831557251">
          <w:marLeft w:val="0"/>
          <w:marRight w:val="0"/>
          <w:marTop w:val="0"/>
          <w:marBottom w:val="0"/>
          <w:divBdr>
            <w:top w:val="none" w:sz="0" w:space="0" w:color="auto"/>
            <w:left w:val="none" w:sz="0" w:space="0" w:color="auto"/>
            <w:bottom w:val="none" w:sz="0" w:space="0" w:color="auto"/>
            <w:right w:val="none" w:sz="0" w:space="0" w:color="auto"/>
          </w:divBdr>
          <w:divsChild>
            <w:div w:id="1523670659">
              <w:marLeft w:val="0"/>
              <w:marRight w:val="0"/>
              <w:marTop w:val="0"/>
              <w:marBottom w:val="0"/>
              <w:divBdr>
                <w:top w:val="none" w:sz="0" w:space="0" w:color="auto"/>
                <w:left w:val="none" w:sz="0" w:space="0" w:color="auto"/>
                <w:bottom w:val="none" w:sz="0" w:space="0" w:color="auto"/>
                <w:right w:val="none" w:sz="0" w:space="0" w:color="auto"/>
              </w:divBdr>
              <w:divsChild>
                <w:div w:id="21436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cessdata.fda.gov/drugsatfda_docs/label/2024/761091s033lbl.pdf" TargetMode="External"/><Relationship Id="rId18" Type="http://schemas.openxmlformats.org/officeDocument/2006/relationships/hyperlink" Target="https://www.cms.gov/medicare/payment/part-b-drugs/asp-pricing-fi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cessdata.fda.gov/drugsatfda_docs/label/2024/761106s010lbl.pdf" TargetMode="External"/><Relationship Id="rId17" Type="http://schemas.openxmlformats.org/officeDocument/2006/relationships/hyperlink" Target="https://www.eternalhealth.com/wp-content/uploads/2022/10/eternalHealth_MA-Part-B-PA-List-eff-1-1-2025.pdf" TargetMode="External"/><Relationship Id="rId2" Type="http://schemas.openxmlformats.org/officeDocument/2006/relationships/customXml" Target="../customXml/item2.xml"/><Relationship Id="rId16" Type="http://schemas.openxmlformats.org/officeDocument/2006/relationships/hyperlink" Target="https://www.accessdata.fda.gov/drugsatfda_docs/label/2024/761346Orig1s000lb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cessdata.fda.gov/drugsatfda_docs/label/2024/103792s5354lbl.pdf" TargetMode="External"/><Relationship Id="rId5" Type="http://schemas.openxmlformats.org/officeDocument/2006/relationships/styles" Target="styles.xml"/><Relationship Id="rId15" Type="http://schemas.openxmlformats.org/officeDocument/2006/relationships/hyperlink" Target="https://www.accessdata.fda.gov/drugsatfda_docs/label/2020/761100Orig1s005Lbl.pdf" TargetMode="External"/><Relationship Id="rId10" Type="http://schemas.openxmlformats.org/officeDocument/2006/relationships/hyperlink" Target="https://www.accessdata.fda.gov/drugsatfda_docs/label/2019/761081s000lbl.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data.fda.gov/drugsatfda_docs/label/2024/761073s010lbl.pdf" TargetMode="External"/><Relationship Id="rId14" Type="http://schemas.openxmlformats.org/officeDocument/2006/relationships/hyperlink" Target="https://www.accessdata.fda.gov/drugsatfda_docs/label/2024/761074s030lb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s>
</ds:datastoreItem>
</file>

<file path=customXml/itemProps2.xml><?xml version="1.0" encoding="utf-8"?>
<ds:datastoreItem xmlns:ds="http://schemas.openxmlformats.org/officeDocument/2006/customXml" ds:itemID="{89D7D37D-E0D8-46F7-BEDF-FFBFBD885B46}">
  <ds:schemaRefs>
    <ds:schemaRef ds:uri="http://schemas.microsoft.com/sharepoint/v3/contenttype/forms"/>
  </ds:schemaRefs>
</ds:datastoreItem>
</file>

<file path=customXml/itemProps3.xml><?xml version="1.0" encoding="utf-8"?>
<ds:datastoreItem xmlns:ds="http://schemas.openxmlformats.org/officeDocument/2006/customXml" ds:itemID="{AE2B7E2B-7E7B-406E-9ED3-A5D6031BB18D}"/>
</file>

<file path=docProps/app.xml><?xml version="1.0" encoding="utf-8"?>
<Properties xmlns="http://schemas.openxmlformats.org/officeDocument/2006/extended-properties" xmlns:vt="http://schemas.openxmlformats.org/officeDocument/2006/docPropsVTypes">
  <Template>Normal</Template>
  <TotalTime>1</TotalTime>
  <Pages>7</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4</cp:revision>
  <dcterms:created xsi:type="dcterms:W3CDTF">2025-04-09T14:06:00Z</dcterms:created>
  <dcterms:modified xsi:type="dcterms:W3CDTF">2025-07-28T19:27:00Z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ies>
</file>