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1E23" w14:textId="739D08A7" w:rsidR="00682D71" w:rsidRDefault="00171CC3">
      <w:r>
        <w:rPr>
          <w:noProof/>
        </w:rPr>
        <w:drawing>
          <wp:anchor distT="0" distB="0" distL="114300" distR="114300" simplePos="0" relativeHeight="251659264" behindDoc="1" locked="0" layoutInCell="1" allowOverlap="1" wp14:anchorId="6A61DFF5" wp14:editId="6318911E">
            <wp:simplePos x="0" y="0"/>
            <wp:positionH relativeFrom="column">
              <wp:posOffset>1060704</wp:posOffset>
            </wp:positionH>
            <wp:positionV relativeFrom="paragraph">
              <wp:posOffset>17290</wp:posOffset>
            </wp:positionV>
            <wp:extent cx="3721100" cy="644869"/>
            <wp:effectExtent l="0" t="0" r="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6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36E08" w14:textId="77777777" w:rsidR="00171CC3" w:rsidRPr="00171CC3" w:rsidRDefault="00171CC3" w:rsidP="00171CC3"/>
    <w:p w14:paraId="45427FC3" w14:textId="77777777" w:rsidR="00171CC3" w:rsidRPr="00A95390" w:rsidRDefault="00171CC3" w:rsidP="00171CC3">
      <w:pPr>
        <w:widowControl w:val="0"/>
        <w:autoSpaceDE w:val="0"/>
        <w:autoSpaceDN w:val="0"/>
        <w:spacing w:before="40" w:line="305" w:lineRule="auto"/>
        <w:ind w:right="432"/>
        <w:rPr>
          <w:rFonts w:ascii="Montserrat" w:eastAsia="Calibri" w:hAnsi="Montserrat" w:cs="Calibri"/>
          <w:color w:val="4A9EFF"/>
          <w:sz w:val="44"/>
          <w:szCs w:val="54"/>
          <w:lang w:bidi="en-US"/>
        </w:rPr>
      </w:pPr>
      <w:r w:rsidRPr="00A95390">
        <w:rPr>
          <w:rFonts w:ascii="Montserrat" w:eastAsia="Calibri" w:hAnsi="Montserrat" w:cs="Calibr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94559" wp14:editId="12363257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5918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35D5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26.45pt" to="880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p w14:paraId="232C432B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Times New Roman"/>
          <w:color w:val="00AEDB"/>
          <w:sz w:val="24"/>
          <w:szCs w:val="24"/>
        </w:rPr>
      </w:pPr>
    </w:p>
    <w:p w14:paraId="74198E9A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171CC3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Policy and Procedure </w:t>
      </w:r>
    </w:p>
    <w:p w14:paraId="13809CD0" w14:textId="06BC14E8" w:rsidR="00171CC3" w:rsidRPr="00171CC3" w:rsidRDefault="00B4631B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Viscosupplement</w:t>
      </w:r>
      <w:r w:rsidR="00B945C9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s</w:t>
      </w:r>
    </w:p>
    <w:p w14:paraId="480C9C92" w14:textId="3E326B30" w:rsidR="00171CC3" w:rsidRPr="005226EB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POLICY #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86116A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UMST-3</w:t>
      </w:r>
    </w:p>
    <w:p w14:paraId="26DF720B" w14:textId="3A97F0F8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Version: </w:t>
      </w:r>
      <w:r w:rsidR="00E15732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1</w:t>
      </w:r>
      <w:r w:rsidR="001A17A5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.0</w:t>
      </w:r>
      <w:r w:rsidR="00C11B4C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</w:p>
    <w:p w14:paraId="6526E423" w14:textId="77777777" w:rsidR="00171CC3" w:rsidRDefault="00171CC3" w:rsidP="00171CC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color w:val="4A9EFF"/>
          <w:sz w:val="24"/>
          <w:szCs w:val="24"/>
          <w:lang w:bidi="en-US"/>
        </w:rPr>
      </w:pPr>
    </w:p>
    <w:p w14:paraId="712B0DD6" w14:textId="77777777" w:rsidR="00320403" w:rsidRDefault="00171CC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 w:rsidRPr="00171CC3">
        <w:rPr>
          <w:rFonts w:ascii="Futura" w:eastAsia="Calibri" w:hAnsi="Futura" w:cs="Calibri"/>
          <w:noProof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5E043" wp14:editId="61E94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18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685E8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6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1890"/>
        <w:gridCol w:w="2945"/>
      </w:tblGrid>
      <w:tr w:rsidR="00320403" w14:paraId="0538398F" w14:textId="77777777" w:rsidTr="00320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BECC85" w14:textId="77777777" w:rsidR="00320403" w:rsidRPr="00E15732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 w:rsidRPr="00E15732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Binder: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2CD696" w14:textId="231C1374" w:rsidR="00320403" w:rsidRDefault="008955F5" w:rsidP="00CD77BC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311E06" w14:textId="77777777" w:rsidR="00320403" w:rsidRDefault="00320403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Department: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598461" w14:textId="7076B979" w:rsidR="00320403" w:rsidRDefault="00D001B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Medical Management-UM</w:t>
            </w:r>
          </w:p>
        </w:tc>
      </w:tr>
      <w:tr w:rsidR="00320403" w14:paraId="5988EF9A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04DEE4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Policy Contact: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E7C508" w14:textId="46764C8D" w:rsidR="00320403" w:rsidRDefault="008955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VP Pharmacy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7E7C54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Effective Date: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7473BD" w14:textId="055306FF" w:rsidR="00320403" w:rsidRDefault="008235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1</w:t>
            </w:r>
            <w:r w:rsidR="00D001BF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/1/2</w:t>
            </w: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6</w:t>
            </w:r>
          </w:p>
        </w:tc>
      </w:tr>
      <w:tr w:rsidR="00320403" w14:paraId="0E783544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5CCDE5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Date Last Reviewed: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53BA10" w14:textId="4EAF7391" w:rsidR="00320403" w:rsidRDefault="00320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15B2A2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Date of Policy Committee Approval: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72BAE2" w14:textId="0C145934" w:rsidR="00320403" w:rsidRPr="001A17A5" w:rsidRDefault="00320403" w:rsidP="001A17A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34A017EB" w14:textId="77777777" w:rsidR="00320403" w:rsidRDefault="00320403" w:rsidP="0032040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b/>
          <w:bCs/>
          <w:color w:val="4A9EFF"/>
          <w:sz w:val="24"/>
          <w:szCs w:val="24"/>
          <w:lang w:bidi="en-US"/>
        </w:rPr>
      </w:pPr>
    </w:p>
    <w:tbl>
      <w:tblPr>
        <w:tblStyle w:val="TableGrid1"/>
        <w:tblW w:w="9345" w:type="dxa"/>
        <w:tblBorders>
          <w:top w:val="single" w:sz="12" w:space="0" w:color="A5A5A5"/>
          <w:left w:val="single" w:sz="12" w:space="0" w:color="A5A5A5"/>
          <w:bottom w:val="single" w:sz="12" w:space="0" w:color="A5A5A5"/>
          <w:right w:val="single" w:sz="12" w:space="0" w:color="A5A5A5"/>
          <w:insideH w:val="single" w:sz="12" w:space="0" w:color="A5A5A5"/>
          <w:insideV w:val="single" w:sz="12" w:space="0" w:color="A5A5A5"/>
        </w:tblBorders>
        <w:tblLook w:val="04A0" w:firstRow="1" w:lastRow="0" w:firstColumn="1" w:lastColumn="0" w:noHBand="0" w:noVBand="1"/>
      </w:tblPr>
      <w:tblGrid>
        <w:gridCol w:w="1546"/>
        <w:gridCol w:w="2510"/>
        <w:gridCol w:w="1880"/>
        <w:gridCol w:w="3409"/>
      </w:tblGrid>
      <w:tr w:rsidR="00320403" w14:paraId="47A77D58" w14:textId="77777777" w:rsidTr="00320403">
        <w:tc>
          <w:tcPr>
            <w:tcW w:w="9345" w:type="dxa"/>
            <w:gridSpan w:val="4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CC25E45" w14:textId="77777777" w:rsidR="00320403" w:rsidRDefault="00320403">
            <w:pPr>
              <w:widowControl w:val="0"/>
              <w:autoSpaceDE w:val="0"/>
              <w:autoSpaceDN w:val="0"/>
              <w:jc w:val="center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Revision/Approval History</w:t>
            </w:r>
          </w:p>
        </w:tc>
      </w:tr>
      <w:tr w:rsidR="00320403" w14:paraId="02459072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F80719B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Date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D9342F0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Name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157BE64E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Title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4D3EEE37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Description</w:t>
            </w:r>
          </w:p>
        </w:tc>
      </w:tr>
      <w:tr w:rsidR="00320403" w14:paraId="67145A51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1C31E6F" w14:textId="003C0316" w:rsidR="00320403" w:rsidRDefault="008955F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5736AEE" w14:textId="40E4F33F" w:rsidR="00320403" w:rsidRDefault="00E768B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Policy &amp; Procedure Committee 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67DA1ECD" w14:textId="5B4C9F35" w:rsidR="00320403" w:rsidRDefault="008955F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35DC7F81" w14:textId="45489438" w:rsidR="00320403" w:rsidRDefault="00CB5E2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New policy. </w:t>
            </w:r>
          </w:p>
        </w:tc>
      </w:tr>
      <w:tr w:rsidR="00320403" w14:paraId="7973D708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2D9C931" w14:textId="2EF17D11" w:rsidR="00320403" w:rsidRDefault="008955F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80828A1" w14:textId="59107C64" w:rsidR="00320403" w:rsidRDefault="008955F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C0B7B6E" w14:textId="1B868A8F" w:rsidR="00320403" w:rsidRDefault="008955F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F8B2E15" w14:textId="02FA30F4" w:rsidR="00320403" w:rsidRDefault="008955F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New policy.</w:t>
            </w:r>
          </w:p>
        </w:tc>
      </w:tr>
      <w:tr w:rsidR="00823585" w14:paraId="08972CF5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430493F" w14:textId="42188724" w:rsidR="00823585" w:rsidRDefault="0082358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8/4/25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B76DEDC" w14:textId="6B0E0B03" w:rsidR="00823585" w:rsidRDefault="0082358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A508A32" w14:textId="33BC3652" w:rsidR="00823585" w:rsidRDefault="0082358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Review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ED265C6" w14:textId="77777777" w:rsidR="00823585" w:rsidRDefault="0082358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67C7852D" w14:textId="77777777" w:rsidR="00320403" w:rsidRDefault="00320403" w:rsidP="00320403">
      <w:pPr>
        <w:spacing w:after="0" w:line="240" w:lineRule="auto"/>
        <w:jc w:val="center"/>
        <w:rPr>
          <w:rFonts w:ascii="Futura" w:hAnsi="Futura"/>
          <w:color w:val="00AEDB"/>
          <w:sz w:val="24"/>
          <w:szCs w:val="24"/>
        </w:rPr>
      </w:pPr>
    </w:p>
    <w:p w14:paraId="6C4CF2DA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Policy:</w:t>
      </w:r>
    </w:p>
    <w:p w14:paraId="2ECE6697" w14:textId="164DFCC8" w:rsidR="00B60BDE" w:rsidRDefault="00B60BD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3E7F185" w14:textId="00A38ABF" w:rsidR="00581FB0" w:rsidRDefault="004F5EE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This policy stands to show the criteria for and preferencing of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within the therapeutic class of </w:t>
      </w:r>
      <w:r w:rsidR="001F0530">
        <w:rPr>
          <w:rFonts w:ascii="Futura" w:eastAsia="Calibri" w:hAnsi="Futura" w:cs="Calibri"/>
          <w:color w:val="000000"/>
          <w:sz w:val="20"/>
          <w:szCs w:val="20"/>
          <w:lang w:bidi="en-US"/>
        </w:rPr>
        <w:t>Musculoskeletal Therapy Agents-Viscosupplements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At the time of creation of this policy, there are </w:t>
      </w:r>
      <w:r w:rsidR="004B7D63">
        <w:rPr>
          <w:rFonts w:ascii="Futura" w:eastAsia="Calibri" w:hAnsi="Futura" w:cs="Calibri"/>
          <w:color w:val="000000"/>
          <w:sz w:val="20"/>
          <w:szCs w:val="20"/>
          <w:lang w:bidi="en-US"/>
        </w:rPr>
        <w:t>fi</w:t>
      </w:r>
      <w:r w:rsidR="001F0530">
        <w:rPr>
          <w:rFonts w:ascii="Futura" w:eastAsia="Calibri" w:hAnsi="Futura" w:cs="Calibri"/>
          <w:color w:val="000000"/>
          <w:sz w:val="20"/>
          <w:szCs w:val="20"/>
          <w:lang w:bidi="en-US"/>
        </w:rPr>
        <w:t>fteen</w:t>
      </w:r>
      <w:r w:rsidR="004B7D6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to be reviewed: </w:t>
      </w:r>
      <w:r w:rsidR="00970135">
        <w:rPr>
          <w:rFonts w:ascii="Futura" w:eastAsia="Calibri" w:hAnsi="Futura" w:cs="Calibri"/>
          <w:color w:val="000000"/>
          <w:sz w:val="20"/>
          <w:szCs w:val="20"/>
          <w:lang w:bidi="en-US"/>
        </w:rPr>
        <w:t>Inj., durolane 1 mg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(</w:t>
      </w:r>
      <w:r w:rsidR="00970135">
        <w:rPr>
          <w:rFonts w:ascii="Futura" w:eastAsia="Calibri" w:hAnsi="Futura" w:cs="Calibri"/>
          <w:color w:val="000000"/>
          <w:sz w:val="20"/>
          <w:szCs w:val="20"/>
          <w:lang w:bidi="en-US"/>
        </w:rPr>
        <w:t>Durolane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)</w:t>
      </w:r>
      <w:r w:rsidR="00CE393E">
        <w:rPr>
          <w:rFonts w:ascii="Futura" w:eastAsia="Calibri" w:hAnsi="Futura" w:cs="Calibri"/>
          <w:color w:val="000000"/>
          <w:sz w:val="20"/>
          <w:szCs w:val="20"/>
          <w:lang w:bidi="en-US"/>
        </w:rPr>
        <w:t>- J</w:t>
      </w:r>
      <w:r w:rsidR="00970135">
        <w:rPr>
          <w:rFonts w:ascii="Futura" w:eastAsia="Calibri" w:hAnsi="Futura" w:cs="Calibri"/>
          <w:color w:val="000000"/>
          <w:sz w:val="20"/>
          <w:szCs w:val="20"/>
          <w:lang w:bidi="en-US"/>
        </w:rPr>
        <w:t>7318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, </w:t>
      </w:r>
      <w:r w:rsidR="00970135">
        <w:rPr>
          <w:rFonts w:ascii="Futura" w:eastAsia="Calibri" w:hAnsi="Futura" w:cs="Calibri"/>
          <w:color w:val="000000"/>
          <w:sz w:val="20"/>
          <w:szCs w:val="20"/>
          <w:lang w:bidi="en-US"/>
        </w:rPr>
        <w:t>Genvisc 850, in</w:t>
      </w:r>
      <w:r w:rsidR="009E700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j, 1 mg 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(</w:t>
      </w:r>
      <w:r w:rsidR="009E7009">
        <w:rPr>
          <w:rFonts w:ascii="Futura" w:eastAsia="Calibri" w:hAnsi="Futura" w:cs="Calibri"/>
          <w:color w:val="000000"/>
          <w:sz w:val="20"/>
          <w:szCs w:val="20"/>
          <w:lang w:bidi="en-US"/>
        </w:rPr>
        <w:t>Genvisc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)</w:t>
      </w:r>
      <w:r w:rsidR="00CE393E">
        <w:rPr>
          <w:rFonts w:ascii="Futura" w:eastAsia="Calibri" w:hAnsi="Futura" w:cs="Calibri"/>
          <w:color w:val="000000"/>
          <w:sz w:val="20"/>
          <w:szCs w:val="20"/>
          <w:lang w:bidi="en-US"/>
        </w:rPr>
        <w:t>- J</w:t>
      </w:r>
      <w:r w:rsidR="009E7009">
        <w:rPr>
          <w:rFonts w:ascii="Futura" w:eastAsia="Calibri" w:hAnsi="Futura" w:cs="Calibri"/>
          <w:color w:val="000000"/>
          <w:sz w:val="20"/>
          <w:szCs w:val="20"/>
          <w:lang w:bidi="en-US"/>
        </w:rPr>
        <w:t>7320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, </w:t>
      </w:r>
      <w:r w:rsidR="009E7009">
        <w:rPr>
          <w:rFonts w:ascii="Futura" w:eastAsia="Calibri" w:hAnsi="Futura" w:cs="Calibri"/>
          <w:color w:val="000000"/>
          <w:sz w:val="20"/>
          <w:szCs w:val="20"/>
          <w:lang w:bidi="en-US"/>
        </w:rPr>
        <w:t>Hyalgan supartz visco-3 dose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(</w:t>
      </w:r>
      <w:r w:rsidR="00796992">
        <w:rPr>
          <w:rFonts w:ascii="Futura" w:eastAsia="Calibri" w:hAnsi="Futura" w:cs="Calibri"/>
          <w:color w:val="000000"/>
          <w:sz w:val="20"/>
          <w:szCs w:val="20"/>
          <w:lang w:bidi="en-US"/>
        </w:rPr>
        <w:t>Hyalgan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)</w:t>
      </w:r>
      <w:r w:rsidR="00CE393E">
        <w:rPr>
          <w:rFonts w:ascii="Futura" w:eastAsia="Calibri" w:hAnsi="Futura" w:cs="Calibri"/>
          <w:color w:val="000000"/>
          <w:sz w:val="20"/>
          <w:szCs w:val="20"/>
          <w:lang w:bidi="en-US"/>
        </w:rPr>
        <w:t>- J</w:t>
      </w:r>
      <w:r w:rsidR="00796992">
        <w:rPr>
          <w:rFonts w:ascii="Futura" w:eastAsia="Calibri" w:hAnsi="Futura" w:cs="Calibri"/>
          <w:color w:val="000000"/>
          <w:sz w:val="20"/>
          <w:szCs w:val="20"/>
          <w:lang w:bidi="en-US"/>
        </w:rPr>
        <w:t>7321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, </w:t>
      </w:r>
      <w:r w:rsidR="0079699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Hymovis injection 1 mg 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(</w:t>
      </w:r>
      <w:r w:rsidR="00796992">
        <w:rPr>
          <w:rFonts w:ascii="Futura" w:eastAsia="Calibri" w:hAnsi="Futura" w:cs="Calibri"/>
          <w:color w:val="000000"/>
          <w:sz w:val="20"/>
          <w:szCs w:val="20"/>
          <w:lang w:bidi="en-US"/>
        </w:rPr>
        <w:t>Hymovis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)</w:t>
      </w:r>
      <w:r w:rsidR="00ED3544">
        <w:rPr>
          <w:rFonts w:ascii="Futura" w:eastAsia="Calibri" w:hAnsi="Futura" w:cs="Calibri"/>
          <w:color w:val="000000"/>
          <w:sz w:val="20"/>
          <w:szCs w:val="20"/>
          <w:lang w:bidi="en-US"/>
        </w:rPr>
        <w:t>- J7</w:t>
      </w:r>
      <w:r w:rsidR="00796992">
        <w:rPr>
          <w:rFonts w:ascii="Futura" w:eastAsia="Calibri" w:hAnsi="Futura" w:cs="Calibri"/>
          <w:color w:val="000000"/>
          <w:sz w:val="20"/>
          <w:szCs w:val="20"/>
          <w:lang w:bidi="en-US"/>
        </w:rPr>
        <w:t>322</w:t>
      </w:r>
      <w:r w:rsidR="005F6064">
        <w:rPr>
          <w:rFonts w:ascii="Futura" w:eastAsia="Calibri" w:hAnsi="Futura" w:cs="Calibri"/>
          <w:color w:val="000000"/>
          <w:sz w:val="20"/>
          <w:szCs w:val="20"/>
          <w:lang w:bidi="en-US"/>
        </w:rPr>
        <w:t>, Euflexxa inj per dose (Euflexxa)</w:t>
      </w:r>
      <w:r w:rsidR="00736E50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-J7323, Orthovisc inj per dose (Orthovisc)-J7324, </w:t>
      </w:r>
      <w:r w:rsidR="00B60704">
        <w:rPr>
          <w:rFonts w:ascii="Futura" w:eastAsia="Calibri" w:hAnsi="Futura" w:cs="Calibri"/>
          <w:color w:val="000000"/>
          <w:sz w:val="20"/>
          <w:szCs w:val="20"/>
          <w:lang w:bidi="en-US"/>
        </w:rPr>
        <w:t>Synvisc or synvisc-one (Synvisc, Synvisc-one)-J</w:t>
      </w:r>
      <w:r w:rsidR="000E7D6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7325, Gel-one (Gel-One)-J7326, Monovisc inj per dose (Monovisc)-J7327, Gelsyn-3 injection 0.1mg (Gelsyn-3)-J7328, Inj, Trivisc 1 mg (Trivisc)-J7329, </w:t>
      </w:r>
      <w:r w:rsidR="003D0B4F">
        <w:rPr>
          <w:rFonts w:ascii="Futura" w:eastAsia="Calibri" w:hAnsi="Futura" w:cs="Calibri"/>
          <w:color w:val="000000"/>
          <w:sz w:val="20"/>
          <w:szCs w:val="20"/>
          <w:lang w:bidi="en-US"/>
        </w:rPr>
        <w:t>Synojoynt</w:t>
      </w:r>
      <w:r w:rsidR="00624B5F">
        <w:rPr>
          <w:rFonts w:ascii="Futura" w:eastAsia="Calibri" w:hAnsi="Futura" w:cs="Calibri"/>
          <w:color w:val="000000"/>
          <w:sz w:val="20"/>
          <w:szCs w:val="20"/>
          <w:lang w:bidi="en-US"/>
        </w:rPr>
        <w:t>, inj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.</w:t>
      </w:r>
      <w:r w:rsidR="00624B5F">
        <w:rPr>
          <w:rFonts w:ascii="Futura" w:eastAsia="Calibri" w:hAnsi="Futura" w:cs="Calibri"/>
          <w:color w:val="000000"/>
          <w:sz w:val="20"/>
          <w:szCs w:val="20"/>
          <w:lang w:bidi="en-US"/>
        </w:rPr>
        <w:t>, 1 mg (Synojoynt)-J7331, Inj., trilu</w:t>
      </w:r>
      <w:r w:rsidR="004F6471">
        <w:rPr>
          <w:rFonts w:ascii="Futura" w:eastAsia="Calibri" w:hAnsi="Futura" w:cs="Calibri"/>
          <w:color w:val="000000"/>
          <w:sz w:val="20"/>
          <w:szCs w:val="20"/>
          <w:lang w:bidi="en-US"/>
        </w:rPr>
        <w:t>ron 1 mg (Triluron)-J7332.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 The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review includes review of product package inserts for </w:t>
      </w:r>
      <w:r w:rsidR="0022232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FDA approved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indications and limitations, ASP pricing files updated quarterly, 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any external evidence available through CMS approved compendia, NCD/LCD information</w:t>
      </w:r>
      <w:r w:rsidR="0029343B">
        <w:rPr>
          <w:rFonts w:ascii="Futura" w:eastAsia="Calibri" w:hAnsi="Futura" w:cs="Calibri"/>
          <w:color w:val="000000"/>
          <w:sz w:val="20"/>
          <w:szCs w:val="20"/>
          <w:lang w:bidi="en-US"/>
        </w:rPr>
        <w:t>, and the approved system used for clinical direction of the Utilization Management team</w:t>
      </w:r>
      <w:r w:rsidR="00006F2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for agents on the eternalHealth Medicare Part B Prior Auth list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.  T</w:t>
      </w:r>
      <w:r w:rsidR="00A85AC1">
        <w:rPr>
          <w:rFonts w:ascii="Futura" w:eastAsia="Calibri" w:hAnsi="Futura" w:cs="Calibri"/>
          <w:color w:val="000000"/>
          <w:sz w:val="20"/>
          <w:szCs w:val="20"/>
          <w:lang w:bidi="en-US"/>
        </w:rPr>
        <w:t>his information combined with a wholistic review of the members’ clinical profile will allow the eternalHealth team to arrive at a decision of clinical appropriateness and is not a guarantee of payment.</w:t>
      </w:r>
    </w:p>
    <w:p w14:paraId="7962C7E4" w14:textId="77777777" w:rsidR="00581FB0" w:rsidRDefault="00581FB0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8C71486" w14:textId="77777777" w:rsidR="00D65AA1" w:rsidRDefault="00D65AA1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CFAB500" w14:textId="77777777" w:rsidR="00D65AA1" w:rsidRDefault="00D65AA1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6766A98" w14:textId="77777777" w:rsidR="00D65AA1" w:rsidRDefault="00D65AA1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569D067" w14:textId="77777777" w:rsidR="00D65AA1" w:rsidRDefault="00D65AA1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F4E95EB" w14:textId="77777777" w:rsidR="00D65AA1" w:rsidRDefault="00D65AA1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C19E5BF" w14:textId="77777777" w:rsidR="00D65AA1" w:rsidRDefault="00D65AA1" w:rsidP="00D65AA1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Summary:</w:t>
      </w:r>
    </w:p>
    <w:p w14:paraId="588F8655" w14:textId="77777777" w:rsidR="00D65AA1" w:rsidRDefault="00D65AA1" w:rsidP="00D65AA1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07114B47" w14:textId="120FE5E8" w:rsidR="00D65AA1" w:rsidRDefault="00A3714E" w:rsidP="00D65AA1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All agents injected in </w:t>
      </w:r>
      <w:r w:rsidR="00197B05">
        <w:rPr>
          <w:rFonts w:ascii="Futura" w:hAnsi="Futura"/>
          <w:b/>
          <w:bCs/>
          <w:color w:val="00AEDB"/>
          <w:sz w:val="24"/>
          <w:szCs w:val="24"/>
        </w:rPr>
        <w:t>the office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will require prior authorization review for medical necessity</w:t>
      </w:r>
    </w:p>
    <w:p w14:paraId="1B124C8D" w14:textId="54AD8B64" w:rsidR="00A3714E" w:rsidRDefault="00A3714E" w:rsidP="00D65AA1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Medical record </w:t>
      </w:r>
      <w:r w:rsidR="00197B05">
        <w:rPr>
          <w:rFonts w:ascii="Futura" w:hAnsi="Futura"/>
          <w:b/>
          <w:bCs/>
          <w:color w:val="00AEDB"/>
          <w:sz w:val="24"/>
          <w:szCs w:val="24"/>
        </w:rPr>
        <w:t xml:space="preserve">must indicate maximized use of </w:t>
      </w:r>
      <w:r w:rsidR="00561E8F">
        <w:rPr>
          <w:rFonts w:ascii="Futura" w:hAnsi="Futura"/>
          <w:b/>
          <w:bCs/>
          <w:color w:val="00AEDB"/>
          <w:sz w:val="24"/>
          <w:szCs w:val="24"/>
        </w:rPr>
        <w:t>o</w:t>
      </w:r>
      <w:r w:rsidR="00197B05">
        <w:rPr>
          <w:rFonts w:ascii="Futura" w:hAnsi="Futura"/>
          <w:b/>
          <w:bCs/>
          <w:color w:val="00AEDB"/>
          <w:sz w:val="24"/>
          <w:szCs w:val="24"/>
        </w:rPr>
        <w:t>ver</w:t>
      </w:r>
      <w:r w:rsidR="00561E8F">
        <w:rPr>
          <w:rFonts w:ascii="Futura" w:hAnsi="Futura"/>
          <w:b/>
          <w:bCs/>
          <w:color w:val="00AEDB"/>
          <w:sz w:val="24"/>
          <w:szCs w:val="24"/>
        </w:rPr>
        <w:t>-t</w:t>
      </w:r>
      <w:r w:rsidR="00197B05">
        <w:rPr>
          <w:rFonts w:ascii="Futura" w:hAnsi="Futura"/>
          <w:b/>
          <w:bCs/>
          <w:color w:val="00AEDB"/>
          <w:sz w:val="24"/>
          <w:szCs w:val="24"/>
        </w:rPr>
        <w:t>he</w:t>
      </w:r>
      <w:r w:rsidR="00561E8F">
        <w:rPr>
          <w:rFonts w:ascii="Futura" w:hAnsi="Futura"/>
          <w:b/>
          <w:bCs/>
          <w:color w:val="00AEDB"/>
          <w:sz w:val="24"/>
          <w:szCs w:val="24"/>
        </w:rPr>
        <w:t>-c</w:t>
      </w:r>
      <w:r w:rsidR="00197B05">
        <w:rPr>
          <w:rFonts w:ascii="Futura" w:hAnsi="Futura"/>
          <w:b/>
          <w:bCs/>
          <w:color w:val="00AEDB"/>
          <w:sz w:val="24"/>
          <w:szCs w:val="24"/>
        </w:rPr>
        <w:t>ounter agents such as acetaminophen</w:t>
      </w:r>
      <w:r w:rsidR="00DA7EAA">
        <w:rPr>
          <w:rFonts w:ascii="Futura" w:hAnsi="Futura"/>
          <w:b/>
          <w:bCs/>
          <w:color w:val="00AEDB"/>
          <w:sz w:val="24"/>
          <w:szCs w:val="24"/>
        </w:rPr>
        <w:t>, ibuprofen, or othe</w:t>
      </w:r>
      <w:r w:rsidR="00561E8F">
        <w:rPr>
          <w:rFonts w:ascii="Futura" w:hAnsi="Futura"/>
          <w:b/>
          <w:bCs/>
          <w:color w:val="00AEDB"/>
          <w:sz w:val="24"/>
          <w:szCs w:val="24"/>
        </w:rPr>
        <w:t>rwise</w:t>
      </w:r>
      <w:r w:rsidR="00DA7EAA">
        <w:rPr>
          <w:rFonts w:ascii="Futura" w:hAnsi="Futura"/>
          <w:b/>
          <w:bCs/>
          <w:color w:val="00AEDB"/>
          <w:sz w:val="24"/>
          <w:szCs w:val="24"/>
        </w:rPr>
        <w:t xml:space="preserve"> </w:t>
      </w:r>
      <w:r w:rsidR="00561E8F">
        <w:rPr>
          <w:rFonts w:ascii="Futura" w:hAnsi="Futura"/>
          <w:b/>
          <w:bCs/>
          <w:color w:val="00AEDB"/>
          <w:sz w:val="24"/>
          <w:szCs w:val="24"/>
        </w:rPr>
        <w:t xml:space="preserve">and part D </w:t>
      </w:r>
      <w:r w:rsidR="00222D66">
        <w:rPr>
          <w:rFonts w:ascii="Futura" w:hAnsi="Futura"/>
          <w:b/>
          <w:bCs/>
          <w:color w:val="00AEDB"/>
          <w:sz w:val="24"/>
          <w:szCs w:val="24"/>
        </w:rPr>
        <w:t xml:space="preserve">formulary agents found here: </w:t>
      </w:r>
      <w:hyperlink r:id="rId9" w:history="1">
        <w:r w:rsidR="009A00EB" w:rsidRPr="009A00EB">
          <w:rPr>
            <w:rStyle w:val="Hyperlink"/>
            <w:rFonts w:ascii="Futura" w:hAnsi="Futura"/>
            <w:b/>
            <w:bCs/>
            <w:sz w:val="24"/>
            <w:szCs w:val="24"/>
          </w:rPr>
          <w:t>https://welcome.optumrx.com/rxexternal/external-prescription-drug-list?type=PDPClientFormulary&amp;var=X25ETEGD&amp;infoid=X25ETEGD&amp;clientCode=ETHOEDL</w:t>
        </w:r>
      </w:hyperlink>
    </w:p>
    <w:p w14:paraId="68537317" w14:textId="3FC46DEF" w:rsidR="009A00EB" w:rsidRDefault="007E54DC" w:rsidP="007E54DC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bookmarkStart w:id="0" w:name="_Hlk190865049"/>
      <w:r>
        <w:rPr>
          <w:rFonts w:ascii="Futura" w:hAnsi="Futura"/>
          <w:b/>
          <w:bCs/>
          <w:color w:val="00AEDB"/>
          <w:sz w:val="24"/>
          <w:szCs w:val="24"/>
        </w:rPr>
        <w:t>If requested agent is a single injection</w:t>
      </w:r>
      <w:r w:rsidR="00AC443B">
        <w:rPr>
          <w:rFonts w:ascii="Futura" w:hAnsi="Futura"/>
          <w:b/>
          <w:bCs/>
          <w:color w:val="00AEDB"/>
          <w:sz w:val="24"/>
          <w:szCs w:val="24"/>
        </w:rPr>
        <w:t xml:space="preserve">, and the request is for </w:t>
      </w:r>
      <w:bookmarkEnd w:id="0"/>
      <w:r w:rsidR="00AC443B">
        <w:rPr>
          <w:rFonts w:ascii="Futura" w:hAnsi="Futura"/>
          <w:b/>
          <w:bCs/>
          <w:color w:val="00AEDB"/>
          <w:sz w:val="24"/>
          <w:szCs w:val="24"/>
        </w:rPr>
        <w:t>Durolane or Synvisc-</w:t>
      </w:r>
      <w:r w:rsidR="0004331F">
        <w:rPr>
          <w:rFonts w:ascii="Futura" w:hAnsi="Futura"/>
          <w:b/>
          <w:bCs/>
          <w:color w:val="00AEDB"/>
          <w:sz w:val="24"/>
          <w:szCs w:val="24"/>
        </w:rPr>
        <w:t xml:space="preserve">One and meets medical necessity and the </w:t>
      </w:r>
      <w:r w:rsidR="00AA44F8">
        <w:rPr>
          <w:rFonts w:ascii="Futura" w:hAnsi="Futura"/>
          <w:b/>
          <w:bCs/>
          <w:color w:val="00AEDB"/>
          <w:sz w:val="24"/>
          <w:szCs w:val="24"/>
        </w:rPr>
        <w:t>use of OTC and Part D agents, it can be approved.</w:t>
      </w:r>
    </w:p>
    <w:p w14:paraId="101959D4" w14:textId="77D349E7" w:rsidR="00AA44F8" w:rsidRDefault="005773AB" w:rsidP="007E54DC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If requested agent is a single injection, and the request is for </w:t>
      </w:r>
      <w:r w:rsidR="00686FFE">
        <w:rPr>
          <w:rFonts w:ascii="Futura" w:hAnsi="Futura"/>
          <w:b/>
          <w:bCs/>
          <w:color w:val="00AEDB"/>
          <w:sz w:val="24"/>
          <w:szCs w:val="24"/>
        </w:rPr>
        <w:t>Gel-One or Monovisc, the agent must meet medical necessity, the use of OTC and Part D agents</w:t>
      </w:r>
      <w:r w:rsidR="00FD4759">
        <w:rPr>
          <w:rFonts w:ascii="Futura" w:hAnsi="Futura"/>
          <w:b/>
          <w:bCs/>
          <w:color w:val="00AEDB"/>
          <w:sz w:val="24"/>
          <w:szCs w:val="24"/>
        </w:rPr>
        <w:t xml:space="preserve"> as well as failed </w:t>
      </w:r>
      <w:r w:rsidR="007D2160">
        <w:rPr>
          <w:rFonts w:ascii="Futura" w:hAnsi="Futura"/>
          <w:b/>
          <w:bCs/>
          <w:color w:val="00AEDB"/>
          <w:sz w:val="24"/>
          <w:szCs w:val="24"/>
        </w:rPr>
        <w:t>response to Synvisc-One or Durolane</w:t>
      </w:r>
    </w:p>
    <w:p w14:paraId="7B87832D" w14:textId="40B11D3B" w:rsidR="006833C6" w:rsidRDefault="006833C6" w:rsidP="006833C6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If requested agent is a multiple-injection product, and the request is for Euflexxa or Synvisc and meets medical necessity and the use of OTC and Part D agents, it can be approved.</w:t>
      </w:r>
    </w:p>
    <w:p w14:paraId="76D8F04C" w14:textId="114EE944" w:rsidR="006833C6" w:rsidRDefault="006833C6" w:rsidP="00DE026F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0C23EB">
        <w:rPr>
          <w:rFonts w:ascii="Futura" w:hAnsi="Futura"/>
          <w:b/>
          <w:bCs/>
          <w:color w:val="00AEDB"/>
          <w:sz w:val="24"/>
          <w:szCs w:val="24"/>
        </w:rPr>
        <w:t xml:space="preserve">If </w:t>
      </w:r>
      <w:r w:rsidR="00B700A8" w:rsidRPr="000C23EB">
        <w:rPr>
          <w:rFonts w:ascii="Futura" w:hAnsi="Futura"/>
          <w:b/>
          <w:bCs/>
          <w:color w:val="00AEDB"/>
          <w:sz w:val="24"/>
          <w:szCs w:val="24"/>
        </w:rPr>
        <w:t>the requested</w:t>
      </w:r>
      <w:r w:rsidRPr="000C23EB">
        <w:rPr>
          <w:rFonts w:ascii="Futura" w:hAnsi="Futura"/>
          <w:b/>
          <w:bCs/>
          <w:color w:val="00AEDB"/>
          <w:sz w:val="24"/>
          <w:szCs w:val="24"/>
        </w:rPr>
        <w:t xml:space="preserve"> agent is a multiple-injection product, and the request is for Gel</w:t>
      </w:r>
      <w:r w:rsidR="007E659B" w:rsidRPr="000C23EB">
        <w:rPr>
          <w:rFonts w:ascii="Futura" w:hAnsi="Futura"/>
          <w:b/>
          <w:bCs/>
          <w:color w:val="00AEDB"/>
          <w:sz w:val="24"/>
          <w:szCs w:val="24"/>
        </w:rPr>
        <w:t>Sy</w:t>
      </w:r>
      <w:r w:rsidR="004A5386" w:rsidRPr="000C23EB">
        <w:rPr>
          <w:rFonts w:ascii="Futura" w:hAnsi="Futura"/>
          <w:b/>
          <w:bCs/>
          <w:color w:val="00AEDB"/>
          <w:sz w:val="24"/>
          <w:szCs w:val="24"/>
        </w:rPr>
        <w:t>n-3, GenVisc850, Hyalgan, Hymovis, Orthovi</w:t>
      </w:r>
      <w:r w:rsidR="00847FE4" w:rsidRPr="000C23EB">
        <w:rPr>
          <w:rFonts w:ascii="Futura" w:hAnsi="Futura"/>
          <w:b/>
          <w:bCs/>
          <w:color w:val="00AEDB"/>
          <w:sz w:val="24"/>
          <w:szCs w:val="24"/>
        </w:rPr>
        <w:t>sc, Supartz FX, TriVisc, Triluron, or Visco-3</w:t>
      </w:r>
      <w:r w:rsidRPr="000C23EB">
        <w:rPr>
          <w:rFonts w:ascii="Futura" w:hAnsi="Futura"/>
          <w:b/>
          <w:bCs/>
          <w:color w:val="00AEDB"/>
          <w:sz w:val="24"/>
          <w:szCs w:val="24"/>
        </w:rPr>
        <w:t xml:space="preserve">, the agent must meet medical necessity, the use of OTC and Part D agents as well as failed response to </w:t>
      </w:r>
      <w:r w:rsidR="000C23EB">
        <w:rPr>
          <w:rFonts w:ascii="Futura" w:hAnsi="Futura"/>
          <w:b/>
          <w:bCs/>
          <w:color w:val="00AEDB"/>
          <w:sz w:val="24"/>
          <w:szCs w:val="24"/>
        </w:rPr>
        <w:t>Euflexxa or Synvisc</w:t>
      </w:r>
    </w:p>
    <w:p w14:paraId="2C55CFD6" w14:textId="77777777" w:rsidR="00A44368" w:rsidRDefault="00A44368" w:rsidP="00A4436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An exception to step therapy will be considered if:</w:t>
      </w:r>
    </w:p>
    <w:p w14:paraId="731308B3" w14:textId="77777777" w:rsidR="00A44368" w:rsidRPr="00732065" w:rsidRDefault="00A44368" w:rsidP="00A44368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There is specific 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documentation of inadequate response, contraindication, adverse event or otherwise </w:t>
      </w:r>
      <w:r>
        <w:rPr>
          <w:rFonts w:ascii="Futura" w:hAnsi="Futura"/>
          <w:b/>
          <w:bCs/>
          <w:color w:val="00AEDB"/>
          <w:sz w:val="24"/>
          <w:szCs w:val="24"/>
        </w:rPr>
        <w:t>d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>emonstrated for a preferred agent if requesting a secondary agent, and for preferred and secondary agents if requesting a tertiary agent.</w:t>
      </w:r>
    </w:p>
    <w:p w14:paraId="3C41B191" w14:textId="37D5FB09" w:rsidR="00A44368" w:rsidRPr="00732065" w:rsidRDefault="00A44368" w:rsidP="00A44368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Request contains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documentation of a continuation of therapy within the past </w:t>
      </w:r>
      <w:r w:rsidR="00200AF5">
        <w:rPr>
          <w:rFonts w:ascii="Futura" w:hAnsi="Futura"/>
          <w:b/>
          <w:bCs/>
          <w:color w:val="00AEDB"/>
          <w:sz w:val="24"/>
          <w:szCs w:val="24"/>
        </w:rPr>
        <w:t>365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days (if new) or if it is a reauthorization request.</w:t>
      </w:r>
    </w:p>
    <w:p w14:paraId="3F45C8F0" w14:textId="77777777" w:rsidR="00A44368" w:rsidRPr="00732065" w:rsidRDefault="00A44368" w:rsidP="00A4436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732065">
        <w:rPr>
          <w:rFonts w:ascii="Futura" w:hAnsi="Futura"/>
          <w:b/>
          <w:bCs/>
          <w:color w:val="00AEDB"/>
          <w:sz w:val="24"/>
          <w:szCs w:val="24"/>
        </w:rPr>
        <w:t>In either of the above situations, the product being used cannot be based on the use of samples or products provided through manufacturer patient assistance programs.</w:t>
      </w:r>
    </w:p>
    <w:p w14:paraId="46545536" w14:textId="77777777" w:rsidR="00A44368" w:rsidRPr="000C23EB" w:rsidRDefault="00A44368" w:rsidP="00B700A8">
      <w:pPr>
        <w:pStyle w:val="ListParagraph"/>
        <w:spacing w:after="0" w:line="240" w:lineRule="auto"/>
        <w:ind w:left="1440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510D73A2" w14:textId="77777777" w:rsidR="00D65AA1" w:rsidRDefault="00D65AA1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D085817" w14:textId="2D9A8FD3" w:rsidR="00E42974" w:rsidRPr="0018204C" w:rsidRDefault="00E42974" w:rsidP="00554794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18204C">
        <w:rPr>
          <w:rFonts w:ascii="Futura" w:hAnsi="Futura"/>
          <w:b/>
          <w:bCs/>
          <w:color w:val="00AEDB"/>
          <w:sz w:val="24"/>
          <w:szCs w:val="24"/>
        </w:rPr>
        <w:t>Exclusions:</w:t>
      </w:r>
    </w:p>
    <w:p w14:paraId="121B4A0C" w14:textId="7A17C344" w:rsidR="0018204C" w:rsidRDefault="00F16BA6" w:rsidP="00F16BA6">
      <w:pPr>
        <w:numPr>
          <w:ilvl w:val="0"/>
          <w:numId w:val="30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Requests for non-FDA approved or compendia-based indications.</w:t>
      </w:r>
    </w:p>
    <w:p w14:paraId="3FC81515" w14:textId="77777777" w:rsidR="00F16BA6" w:rsidRDefault="00F16BA6" w:rsidP="00F16BA6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5BDFBEC" w14:textId="77777777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Preferencing:</w:t>
      </w:r>
    </w:p>
    <w:p w14:paraId="745EBCA1" w14:textId="63C35690" w:rsidR="00D52A79" w:rsidRPr="00D52A79" w:rsidRDefault="00D52A79" w:rsidP="00320403">
      <w:pPr>
        <w:spacing w:after="0" w:line="240" w:lineRule="auto"/>
        <w:rPr>
          <w:rFonts w:ascii="Futura" w:hAnsi="Futura"/>
          <w:b/>
          <w:bCs/>
          <w:sz w:val="24"/>
          <w:szCs w:val="24"/>
        </w:rPr>
      </w:pPr>
      <w:r w:rsidRPr="00D52A79">
        <w:rPr>
          <w:rFonts w:ascii="Futura" w:hAnsi="Futura"/>
          <w:b/>
          <w:bCs/>
          <w:sz w:val="24"/>
          <w:szCs w:val="24"/>
        </w:rPr>
        <w:t>Required: Part D and OTC agent maximization</w:t>
      </w:r>
    </w:p>
    <w:p w14:paraId="366D9618" w14:textId="0E8AF65D" w:rsidR="00255C58" w:rsidRPr="00CD2097" w:rsidRDefault="00255C58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Preferred Agents:</w:t>
      </w:r>
      <w:r w:rsidR="00CD2097">
        <w:rPr>
          <w:rFonts w:ascii="Futura" w:hAnsi="Futura"/>
          <w:b/>
          <w:bCs/>
          <w:sz w:val="24"/>
          <w:szCs w:val="24"/>
        </w:rPr>
        <w:t xml:space="preserve"> D</w:t>
      </w:r>
      <w:r w:rsidR="00F16BA6">
        <w:rPr>
          <w:rFonts w:ascii="Futura" w:hAnsi="Futura"/>
          <w:b/>
          <w:bCs/>
          <w:sz w:val="24"/>
          <w:szCs w:val="24"/>
        </w:rPr>
        <w:t>urolane</w:t>
      </w:r>
      <w:r w:rsidR="00CD2097">
        <w:rPr>
          <w:rFonts w:ascii="Futura" w:hAnsi="Futura"/>
          <w:b/>
          <w:bCs/>
          <w:sz w:val="24"/>
          <w:szCs w:val="24"/>
        </w:rPr>
        <w:t xml:space="preserve">, </w:t>
      </w:r>
      <w:r w:rsidR="00052DD9">
        <w:rPr>
          <w:rFonts w:ascii="Futura" w:hAnsi="Futura"/>
          <w:b/>
          <w:bCs/>
          <w:sz w:val="24"/>
          <w:szCs w:val="24"/>
        </w:rPr>
        <w:t>Sy</w:t>
      </w:r>
      <w:r w:rsidR="00CD2097">
        <w:rPr>
          <w:rFonts w:ascii="Futura" w:hAnsi="Futura"/>
          <w:b/>
          <w:bCs/>
          <w:sz w:val="24"/>
          <w:szCs w:val="24"/>
        </w:rPr>
        <w:t>n</w:t>
      </w:r>
      <w:r w:rsidR="00052DD9">
        <w:rPr>
          <w:rFonts w:ascii="Futura" w:hAnsi="Futura"/>
          <w:b/>
          <w:bCs/>
          <w:sz w:val="24"/>
          <w:szCs w:val="24"/>
        </w:rPr>
        <w:t>visc</w:t>
      </w:r>
      <w:r w:rsidR="00D52A79">
        <w:rPr>
          <w:rFonts w:ascii="Futura" w:hAnsi="Futura"/>
          <w:b/>
          <w:bCs/>
          <w:sz w:val="24"/>
          <w:szCs w:val="24"/>
        </w:rPr>
        <w:t>, Synvisc-One, Euflexxa</w:t>
      </w:r>
    </w:p>
    <w:p w14:paraId="6E9CE643" w14:textId="4776C0A1" w:rsidR="0090595D" w:rsidRPr="00CD2097" w:rsidRDefault="0090595D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Secondary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4806F9">
        <w:rPr>
          <w:rFonts w:ascii="Futura" w:hAnsi="Futura"/>
          <w:b/>
          <w:bCs/>
          <w:sz w:val="24"/>
          <w:szCs w:val="24"/>
        </w:rPr>
        <w:t>Gel-</w:t>
      </w:r>
      <w:r w:rsidR="003774C8">
        <w:rPr>
          <w:rFonts w:ascii="Futura" w:hAnsi="Futura"/>
          <w:b/>
          <w:bCs/>
          <w:sz w:val="24"/>
          <w:szCs w:val="24"/>
        </w:rPr>
        <w:t>One, Gelsyn-3, GenVisc 850, Hyalgan, Hymovis, Monovisc, Orthovisc, Supartz</w:t>
      </w:r>
      <w:r w:rsidR="00177C84">
        <w:rPr>
          <w:rFonts w:ascii="Futura" w:hAnsi="Futura"/>
          <w:b/>
          <w:bCs/>
          <w:sz w:val="24"/>
          <w:szCs w:val="24"/>
        </w:rPr>
        <w:t xml:space="preserve"> FX</w:t>
      </w:r>
      <w:r w:rsidR="003774C8">
        <w:rPr>
          <w:rFonts w:ascii="Futura" w:hAnsi="Futura"/>
          <w:b/>
          <w:bCs/>
          <w:sz w:val="24"/>
          <w:szCs w:val="24"/>
        </w:rPr>
        <w:t>,</w:t>
      </w:r>
      <w:r w:rsidR="00177C84">
        <w:rPr>
          <w:rFonts w:ascii="Futura" w:hAnsi="Futura"/>
          <w:b/>
          <w:bCs/>
          <w:sz w:val="24"/>
          <w:szCs w:val="24"/>
        </w:rPr>
        <w:t xml:space="preserve"> SynoJoynt</w:t>
      </w:r>
      <w:r w:rsidR="00B22139">
        <w:rPr>
          <w:rFonts w:ascii="Futura" w:hAnsi="Futura"/>
          <w:b/>
          <w:bCs/>
          <w:sz w:val="24"/>
          <w:szCs w:val="24"/>
        </w:rPr>
        <w:t>,</w:t>
      </w:r>
      <w:r w:rsidR="003774C8">
        <w:rPr>
          <w:rFonts w:ascii="Futura" w:hAnsi="Futura"/>
          <w:b/>
          <w:bCs/>
          <w:sz w:val="24"/>
          <w:szCs w:val="24"/>
        </w:rPr>
        <w:t xml:space="preserve"> </w:t>
      </w:r>
      <w:r w:rsidR="00177C84">
        <w:rPr>
          <w:rFonts w:ascii="Futura" w:hAnsi="Futura"/>
          <w:b/>
          <w:bCs/>
          <w:sz w:val="24"/>
          <w:szCs w:val="24"/>
        </w:rPr>
        <w:t>Triluron, Trivisc, Visco-3</w:t>
      </w:r>
    </w:p>
    <w:p w14:paraId="6CA5A894" w14:textId="77777777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5E29391" w14:textId="2523E219" w:rsidR="00320403" w:rsidRDefault="00B15619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Agents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2A83435E" w14:textId="77777777" w:rsidR="005027EC" w:rsidRDefault="005027EC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65EE4548" w14:textId="15965D5B" w:rsidR="003E1B92" w:rsidRPr="003E1B92" w:rsidRDefault="003E1B92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HCPCS: J</w:t>
      </w:r>
      <w:r w:rsidR="00523519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7318</w:t>
      </w: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, J</w:t>
      </w:r>
      <w:r w:rsidR="00F52B83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7320</w:t>
      </w: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, J</w:t>
      </w:r>
      <w:r w:rsidR="00F52B83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73321</w:t>
      </w: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, J</w:t>
      </w:r>
      <w:r w:rsidR="00F52B83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7322, J7323</w:t>
      </w: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, J</w:t>
      </w:r>
      <w:r w:rsidR="00F52B83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7324, </w:t>
      </w:r>
      <w:r w:rsidR="00001CF6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J7325, J7326, J7327, J7328, J7329, J7331, J7332</w:t>
      </w:r>
    </w:p>
    <w:p w14:paraId="5780A820" w14:textId="000FF7A6" w:rsidR="009815F3" w:rsidRDefault="009815F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0295D19" w14:textId="185C0DB7" w:rsidR="009F51BE" w:rsidRDefault="001C5166" w:rsidP="00EA57B9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</w:pPr>
      <w:r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 xml:space="preserve">All of the above agents have </w:t>
      </w:r>
      <w:r w:rsidR="006932C2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 xml:space="preserve">the following FDA approved and compendia indications.  Any request outside of these indications </w:t>
      </w:r>
      <w:r w:rsidR="00EA57B9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 xml:space="preserve">will be assessed on an individual basis.  </w:t>
      </w:r>
    </w:p>
    <w:p w14:paraId="1E767A68" w14:textId="77777777" w:rsidR="00523519" w:rsidRDefault="00523519" w:rsidP="00EA57B9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</w:pPr>
    </w:p>
    <w:p w14:paraId="12814B2D" w14:textId="33E68DC8" w:rsidR="00523519" w:rsidRDefault="00523519" w:rsidP="00EA57B9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</w:pPr>
      <w:r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FDA Approved Indications:</w:t>
      </w:r>
      <w:r w:rsidR="00537395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 xml:space="preserve"> </w:t>
      </w:r>
    </w:p>
    <w:p w14:paraId="7F288B19" w14:textId="1BAAE6C6" w:rsidR="00537395" w:rsidRPr="00DC741A" w:rsidRDefault="00537395" w:rsidP="0053739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DC741A">
        <w:rPr>
          <w:rFonts w:ascii="Futura" w:eastAsia="Calibri" w:hAnsi="Futura" w:cs="Calibri"/>
          <w:color w:val="000000"/>
          <w:sz w:val="20"/>
          <w:szCs w:val="20"/>
          <w:lang w:bidi="en-US"/>
        </w:rPr>
        <w:t>Treatment of pain in osteoarthritis of the knee in patients who have failed to respond adequately to conservative non-pharmacologic therapy and simple analgesics (e.g. acetaminophen, physical therapy)</w:t>
      </w:r>
    </w:p>
    <w:p w14:paraId="4D6B2DF4" w14:textId="77777777" w:rsidR="00523519" w:rsidRDefault="00523519" w:rsidP="00EA57B9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</w:pPr>
    </w:p>
    <w:p w14:paraId="4D0044EF" w14:textId="44974C78" w:rsidR="00523519" w:rsidRDefault="00523519" w:rsidP="00EA57B9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Compendia Indications:</w:t>
      </w:r>
    </w:p>
    <w:p w14:paraId="6BA3EBB8" w14:textId="1547A11A" w:rsidR="009F51BE" w:rsidRDefault="00DC741A" w:rsidP="00DC741A">
      <w:pPr>
        <w:pStyle w:val="ListParagraph"/>
        <w:numPr>
          <w:ilvl w:val="0"/>
          <w:numId w:val="4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Treatment of pain of arthropathy of the shoulder</w:t>
      </w:r>
    </w:p>
    <w:p w14:paraId="1E9F735E" w14:textId="72C10D0D" w:rsidR="00DC741A" w:rsidRDefault="00DC741A" w:rsidP="00DC741A">
      <w:pPr>
        <w:pStyle w:val="ListParagraph"/>
        <w:numPr>
          <w:ilvl w:val="0"/>
          <w:numId w:val="4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Treatment of subacromial impingement</w:t>
      </w:r>
    </w:p>
    <w:p w14:paraId="76556747" w14:textId="0A9FDBCE" w:rsidR="00DC741A" w:rsidRPr="00DC741A" w:rsidRDefault="00DC741A" w:rsidP="00DC741A">
      <w:pPr>
        <w:pStyle w:val="ListParagraph"/>
        <w:numPr>
          <w:ilvl w:val="0"/>
          <w:numId w:val="4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Treatment of temporomandibular joint disorder</w:t>
      </w:r>
    </w:p>
    <w:p w14:paraId="37A13A2E" w14:textId="77777777" w:rsidR="00474DCE" w:rsidRDefault="00474DCE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ED2793B" w14:textId="2919B873" w:rsidR="00320403" w:rsidRDefault="00DC1B0C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Duration</w:t>
      </w:r>
      <w:r w:rsidR="009C2524">
        <w:rPr>
          <w:rFonts w:ascii="Futura" w:hAnsi="Futura"/>
          <w:b/>
          <w:bCs/>
          <w:color w:val="00AEDB"/>
          <w:sz w:val="24"/>
          <w:szCs w:val="24"/>
        </w:rPr>
        <w:t xml:space="preserve"> of approval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B8192B7" w14:textId="77777777" w:rsidR="00320403" w:rsidRDefault="003204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59FB8793" w14:textId="77777777" w:rsidR="005A2A36" w:rsidRDefault="009C2524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I</w:t>
      </w:r>
      <w:r w:rsidR="00DC1B0C" w:rsidRPr="00C96407">
        <w:rPr>
          <w:rFonts w:ascii="Futura" w:hAnsi="Futura"/>
          <w:b/>
          <w:bCs/>
          <w:sz w:val="24"/>
          <w:szCs w:val="24"/>
        </w:rPr>
        <w:t>nitial authorization</w:t>
      </w:r>
      <w:r w:rsidR="00DC1B0C" w:rsidRPr="00C96407">
        <w:rPr>
          <w:rFonts w:ascii="Futura" w:hAnsi="Futura"/>
          <w:sz w:val="24"/>
          <w:szCs w:val="24"/>
        </w:rPr>
        <w:t xml:space="preserve">: </w:t>
      </w:r>
    </w:p>
    <w:p w14:paraId="08068DBB" w14:textId="264FFC82" w:rsidR="00542D9D" w:rsidRDefault="005A2A36" w:rsidP="005A2A36">
      <w:pPr>
        <w:spacing w:after="0" w:line="240" w:lineRule="auto"/>
        <w:ind w:firstLine="720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FDA approved indications</w:t>
      </w:r>
      <w:r w:rsidR="00DE3595">
        <w:rPr>
          <w:rFonts w:ascii="Futura" w:hAnsi="Futura"/>
          <w:sz w:val="24"/>
          <w:szCs w:val="24"/>
        </w:rPr>
        <w:t xml:space="preserve"> and treatment of pain of arthropathy of the shoulder-</w:t>
      </w:r>
      <w:r w:rsidR="00DC1B0C" w:rsidRPr="00C96407">
        <w:rPr>
          <w:rFonts w:ascii="Futura" w:hAnsi="Futura"/>
          <w:sz w:val="24"/>
          <w:szCs w:val="24"/>
        </w:rPr>
        <w:t>Length requested</w:t>
      </w:r>
      <w:r w:rsidR="0000381F">
        <w:rPr>
          <w:rFonts w:ascii="Futura" w:hAnsi="Futura"/>
          <w:sz w:val="24"/>
          <w:szCs w:val="24"/>
        </w:rPr>
        <w:t xml:space="preserve"> to complete therapy</w:t>
      </w:r>
      <w:r w:rsidR="00DC1B0C" w:rsidRPr="00C96407">
        <w:rPr>
          <w:rFonts w:ascii="Futura" w:hAnsi="Futura"/>
          <w:sz w:val="24"/>
          <w:szCs w:val="24"/>
        </w:rPr>
        <w:t xml:space="preserve">, </w:t>
      </w:r>
      <w:r w:rsidR="00B8376A" w:rsidRPr="00C96407">
        <w:rPr>
          <w:rFonts w:ascii="Futura" w:hAnsi="Futura"/>
          <w:sz w:val="24"/>
          <w:szCs w:val="24"/>
        </w:rPr>
        <w:t>length specified in the indication above (if applicable), or 12 months, whichever is shortest</w:t>
      </w:r>
      <w:r w:rsidR="0000381F">
        <w:rPr>
          <w:rFonts w:ascii="Futura" w:hAnsi="Futura"/>
          <w:sz w:val="24"/>
          <w:szCs w:val="24"/>
        </w:rPr>
        <w:t>.</w:t>
      </w:r>
    </w:p>
    <w:p w14:paraId="4EF07156" w14:textId="77777777" w:rsidR="00222048" w:rsidRDefault="00222048" w:rsidP="00222048">
      <w:pPr>
        <w:spacing w:after="0" w:line="240" w:lineRule="auto"/>
        <w:ind w:firstLine="720"/>
        <w:rPr>
          <w:rFonts w:ascii="Futura" w:hAnsi="Futura"/>
          <w:sz w:val="24"/>
          <w:szCs w:val="24"/>
        </w:rPr>
      </w:pPr>
    </w:p>
    <w:p w14:paraId="4C701B58" w14:textId="357E7237" w:rsidR="00B8376A" w:rsidRDefault="00DE3595" w:rsidP="00222048">
      <w:pPr>
        <w:spacing w:after="0" w:line="240" w:lineRule="auto"/>
        <w:ind w:firstLine="720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S</w:t>
      </w:r>
      <w:r w:rsidR="00AB1226">
        <w:rPr>
          <w:rFonts w:ascii="Futura" w:hAnsi="Futura"/>
          <w:sz w:val="24"/>
          <w:szCs w:val="24"/>
        </w:rPr>
        <w:t>ubacromial impingement or temporomandibular joint disorder</w:t>
      </w:r>
      <w:r w:rsidR="00222048">
        <w:rPr>
          <w:rFonts w:ascii="Futura" w:hAnsi="Futura"/>
          <w:sz w:val="24"/>
          <w:szCs w:val="24"/>
        </w:rPr>
        <w:t>-3 months.</w:t>
      </w:r>
    </w:p>
    <w:p w14:paraId="2C723C42" w14:textId="77777777" w:rsidR="00222048" w:rsidRPr="00C96407" w:rsidRDefault="00222048" w:rsidP="00222048">
      <w:pPr>
        <w:spacing w:after="0" w:line="240" w:lineRule="auto"/>
        <w:ind w:firstLine="720"/>
        <w:rPr>
          <w:rFonts w:ascii="Futura" w:hAnsi="Futura"/>
          <w:sz w:val="24"/>
          <w:szCs w:val="24"/>
        </w:rPr>
      </w:pPr>
    </w:p>
    <w:p w14:paraId="11AD84D0" w14:textId="77777777" w:rsidR="00222048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Reauthorization</w:t>
      </w:r>
      <w:r w:rsidRPr="00C96407">
        <w:rPr>
          <w:rFonts w:ascii="Futura" w:hAnsi="Futura"/>
          <w:sz w:val="24"/>
          <w:szCs w:val="24"/>
        </w:rPr>
        <w:t xml:space="preserve">: </w:t>
      </w:r>
    </w:p>
    <w:p w14:paraId="777A87AF" w14:textId="77777777" w:rsidR="009B5CC7" w:rsidRDefault="009B5CC7" w:rsidP="009B5CC7">
      <w:pPr>
        <w:spacing w:after="0" w:line="240" w:lineRule="auto"/>
        <w:ind w:firstLine="720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FDA approved indications and treatment of pain of arthropathy of the shoulder-</w:t>
      </w:r>
      <w:r w:rsidRPr="00C96407">
        <w:rPr>
          <w:rFonts w:ascii="Futura" w:hAnsi="Futura"/>
          <w:sz w:val="24"/>
          <w:szCs w:val="24"/>
        </w:rPr>
        <w:t>Length requested</w:t>
      </w:r>
      <w:r>
        <w:rPr>
          <w:rFonts w:ascii="Futura" w:hAnsi="Futura"/>
          <w:sz w:val="24"/>
          <w:szCs w:val="24"/>
        </w:rPr>
        <w:t xml:space="preserve"> to complete therapy</w:t>
      </w:r>
      <w:r w:rsidRPr="00C96407">
        <w:rPr>
          <w:rFonts w:ascii="Futura" w:hAnsi="Futura"/>
          <w:sz w:val="24"/>
          <w:szCs w:val="24"/>
        </w:rPr>
        <w:t>, length specified in the indication above (if applicable), or 12 months, whichever is shortest</w:t>
      </w:r>
      <w:r>
        <w:rPr>
          <w:rFonts w:ascii="Futura" w:hAnsi="Futura"/>
          <w:sz w:val="24"/>
          <w:szCs w:val="24"/>
        </w:rPr>
        <w:t>.</w:t>
      </w:r>
    </w:p>
    <w:p w14:paraId="32B442E8" w14:textId="77777777" w:rsidR="009B5CC7" w:rsidRDefault="009B5CC7" w:rsidP="009B5CC7">
      <w:pPr>
        <w:spacing w:after="0" w:line="240" w:lineRule="auto"/>
        <w:ind w:firstLine="720"/>
        <w:rPr>
          <w:rFonts w:ascii="Futura" w:hAnsi="Futura"/>
          <w:sz w:val="24"/>
          <w:szCs w:val="24"/>
        </w:rPr>
      </w:pPr>
    </w:p>
    <w:p w14:paraId="48777B59" w14:textId="77777777" w:rsidR="009B5CC7" w:rsidRDefault="009B5CC7" w:rsidP="009B5CC7">
      <w:pPr>
        <w:spacing w:after="0" w:line="240" w:lineRule="auto"/>
        <w:ind w:firstLine="720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Subacromial impingement or temporomandibular joint disorder-3 months.</w:t>
      </w:r>
    </w:p>
    <w:p w14:paraId="0323F364" w14:textId="77777777" w:rsidR="00C96407" w:rsidRDefault="00C9640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6080660B" w14:textId="062258A2" w:rsidR="00320403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Exception Criteria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8F1F639" w14:textId="77777777" w:rsidR="00C3149B" w:rsidRDefault="00C3149B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1702901" w14:textId="38BDDD69" w:rsidR="005C3DC3" w:rsidRDefault="000C4424" w:rsidP="00ED739E">
      <w:pPr>
        <w:pStyle w:val="ListParagraph"/>
        <w:numPr>
          <w:ilvl w:val="0"/>
          <w:numId w:val="46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M</w:t>
      </w:r>
      <w:r w:rsidR="00350A24">
        <w:rPr>
          <w:rFonts w:ascii="Futura" w:hAnsi="Futura"/>
          <w:sz w:val="24"/>
          <w:szCs w:val="24"/>
        </w:rPr>
        <w:t>ember has a documented inadequate response, contraindication, or intolerable adverse event to/from</w:t>
      </w:r>
      <w:r w:rsidR="00213632">
        <w:rPr>
          <w:rFonts w:ascii="Futura" w:hAnsi="Futura"/>
          <w:sz w:val="24"/>
          <w:szCs w:val="24"/>
        </w:rPr>
        <w:t xml:space="preserve"> </w:t>
      </w:r>
      <w:r w:rsidR="00213632" w:rsidRPr="00213632">
        <w:rPr>
          <w:rFonts w:ascii="Futura" w:hAnsi="Futura"/>
          <w:b/>
          <w:bCs/>
          <w:i/>
          <w:iCs/>
          <w:sz w:val="24"/>
          <w:szCs w:val="24"/>
        </w:rPr>
        <w:t>all</w:t>
      </w:r>
      <w:r w:rsidR="00213632">
        <w:rPr>
          <w:rFonts w:ascii="Futura" w:hAnsi="Futura"/>
          <w:b/>
          <w:bCs/>
          <w:i/>
          <w:iCs/>
          <w:sz w:val="24"/>
          <w:szCs w:val="24"/>
        </w:rPr>
        <w:t xml:space="preserve"> </w:t>
      </w:r>
      <w:r w:rsidR="00213632">
        <w:rPr>
          <w:rFonts w:ascii="Futura" w:hAnsi="Futura"/>
          <w:sz w:val="24"/>
          <w:szCs w:val="24"/>
        </w:rPr>
        <w:t>preferred products</w:t>
      </w:r>
    </w:p>
    <w:p w14:paraId="50A6076E" w14:textId="2D19F414" w:rsidR="00213632" w:rsidRDefault="00213632" w:rsidP="00ED739E">
      <w:pPr>
        <w:pStyle w:val="ListParagraph"/>
        <w:numPr>
          <w:ilvl w:val="0"/>
          <w:numId w:val="46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There is documentation that the member is currently undergoing treatment</w:t>
      </w:r>
      <w:r w:rsidR="005F755B">
        <w:rPr>
          <w:rFonts w:ascii="Futura" w:hAnsi="Futura"/>
          <w:sz w:val="24"/>
          <w:szCs w:val="24"/>
        </w:rPr>
        <w:t xml:space="preserve"> with the requested agent, and coverage is required to complete the current course of treatment</w:t>
      </w:r>
      <w:r w:rsidR="0094074E">
        <w:rPr>
          <w:rFonts w:ascii="Futura" w:hAnsi="Futura"/>
          <w:sz w:val="24"/>
          <w:szCs w:val="24"/>
        </w:rPr>
        <w:t xml:space="preserve"> with </w:t>
      </w:r>
      <w:r w:rsidR="00220A48">
        <w:rPr>
          <w:rFonts w:ascii="Futura" w:hAnsi="Futura"/>
          <w:sz w:val="24"/>
          <w:szCs w:val="24"/>
        </w:rPr>
        <w:t>documentation of use within</w:t>
      </w:r>
      <w:r w:rsidR="008140E0">
        <w:rPr>
          <w:rFonts w:ascii="Futura" w:hAnsi="Futura"/>
          <w:sz w:val="24"/>
          <w:szCs w:val="24"/>
        </w:rPr>
        <w:t xml:space="preserve"> the past </w:t>
      </w:r>
      <w:r w:rsidR="00200AF5">
        <w:rPr>
          <w:rFonts w:ascii="Futura" w:hAnsi="Futura"/>
          <w:sz w:val="24"/>
          <w:szCs w:val="24"/>
        </w:rPr>
        <w:t>365</w:t>
      </w:r>
      <w:r w:rsidR="008140E0">
        <w:rPr>
          <w:rFonts w:ascii="Futura" w:hAnsi="Futura"/>
          <w:sz w:val="24"/>
          <w:szCs w:val="24"/>
        </w:rPr>
        <w:t xml:space="preserve"> days</w:t>
      </w:r>
      <w:r w:rsidR="0094074E">
        <w:rPr>
          <w:rFonts w:ascii="Futura" w:hAnsi="Futura"/>
          <w:sz w:val="24"/>
          <w:szCs w:val="24"/>
        </w:rPr>
        <w:t xml:space="preserve"> in the medical record/claims.</w:t>
      </w:r>
    </w:p>
    <w:p w14:paraId="1FDA4A6C" w14:textId="69F78E7E" w:rsidR="00D81DFE" w:rsidRPr="004E3830" w:rsidRDefault="00D81DFE" w:rsidP="00ED739E">
      <w:pPr>
        <w:pStyle w:val="ListParagraph"/>
        <w:numPr>
          <w:ilvl w:val="0"/>
          <w:numId w:val="46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 xml:space="preserve">Documentation of exhaustion of </w:t>
      </w:r>
      <w:r w:rsidR="004F1727">
        <w:rPr>
          <w:rFonts w:ascii="Futura" w:hAnsi="Futura"/>
          <w:sz w:val="24"/>
          <w:szCs w:val="24"/>
        </w:rPr>
        <w:t xml:space="preserve">use of </w:t>
      </w:r>
      <w:r>
        <w:rPr>
          <w:rFonts w:ascii="Futura" w:hAnsi="Futura"/>
          <w:sz w:val="24"/>
          <w:szCs w:val="24"/>
        </w:rPr>
        <w:t>part D medication</w:t>
      </w:r>
      <w:r w:rsidR="004F1727">
        <w:rPr>
          <w:rFonts w:ascii="Futura" w:hAnsi="Futura"/>
          <w:sz w:val="24"/>
          <w:szCs w:val="24"/>
        </w:rPr>
        <w:t>s</w:t>
      </w:r>
      <w:r w:rsidR="00670496">
        <w:rPr>
          <w:rFonts w:ascii="Futura" w:hAnsi="Futura"/>
          <w:sz w:val="24"/>
          <w:szCs w:val="24"/>
        </w:rPr>
        <w:t xml:space="preserve"> and OTC agents</w:t>
      </w:r>
      <w:r>
        <w:rPr>
          <w:rFonts w:ascii="Futura" w:hAnsi="Futura"/>
          <w:sz w:val="24"/>
          <w:szCs w:val="24"/>
        </w:rPr>
        <w:t>.</w:t>
      </w:r>
    </w:p>
    <w:p w14:paraId="55CF9D8D" w14:textId="77777777" w:rsidR="00CD2097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0FA99C97" w14:textId="77777777" w:rsidR="00377560" w:rsidRDefault="00377560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DD58D85" w14:textId="77777777" w:rsidR="00377560" w:rsidRDefault="00377560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4577D0A3" w14:textId="0559CE6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Reference(s): </w:t>
      </w:r>
    </w:p>
    <w:p w14:paraId="208BE092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3BEE995B" w14:textId="5B70C1B1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Durolane package insert. </w:t>
      </w:r>
      <w:hyperlink r:id="rId10" w:history="1">
        <w:r w:rsidR="00B35E98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https://www.accessdata.fda.gov/cdrh_docs/pdf17/P170007D.pdf</w:t>
        </w:r>
      </w:hyperlink>
    </w:p>
    <w:p w14:paraId="76B812C5" w14:textId="7FC2FE52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Euflexxa package insert.</w:t>
      </w:r>
      <w:r w:rsidR="00B35E98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hyperlink r:id="rId11" w:history="1">
        <w:r w:rsidR="00524CF7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https://www.ferringusa.com/wp-content/uploads/sites/12/2024/04/EuflexxaPI-07-2016.pdf</w:t>
        </w:r>
      </w:hyperlink>
    </w:p>
    <w:p w14:paraId="67C0C09A" w14:textId="6168D6BF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Gel-One package insert.</w:t>
      </w:r>
      <w:r w:rsidR="00524CF7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hyperlink r:id="rId12" w:history="1">
        <w:r w:rsidR="00585969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https://www.accessdata.fda.gov/cdrh_docs/pdf8/p080020s020d.pdf</w:t>
        </w:r>
      </w:hyperlink>
    </w:p>
    <w:p w14:paraId="469CEA07" w14:textId="2AE79D82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Gelsyn-3 package insert.</w:t>
      </w:r>
      <w:r w:rsidR="0058596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hyperlink r:id="rId13" w:history="1">
        <w:r w:rsidR="00EC3AD3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https://www.accessdata.fda.gov/cdrh_docs/pdf11/P110005d.pdf</w:t>
        </w:r>
      </w:hyperlink>
    </w:p>
    <w:p w14:paraId="0024D2FE" w14:textId="35332EB7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GenVisc 850 package insert. </w:t>
      </w:r>
      <w:hyperlink r:id="rId14" w:history="1">
        <w:r w:rsidR="002102C2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https://www.accessdata.fda.gov/cdrh_docs/pdf14/P140005d.pdf</w:t>
        </w:r>
      </w:hyperlink>
    </w:p>
    <w:p w14:paraId="642A803C" w14:textId="72E2B681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Hyalgan package insert.</w:t>
      </w:r>
      <w:r w:rsidR="00F26D79" w:rsidRPr="00F26D79">
        <w:t xml:space="preserve"> </w:t>
      </w:r>
      <w:hyperlink r:id="rId15" w:history="1">
        <w:r w:rsidR="00F26D79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https://products.sanofi.us/hyalgan/hyalgan.pdf</w:t>
        </w:r>
      </w:hyperlink>
    </w:p>
    <w:p w14:paraId="3ADCA21A" w14:textId="00CC2F4E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Hymovis package insert.</w:t>
      </w:r>
      <w:r w:rsidR="0096106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hyperlink r:id="rId16" w:history="1">
        <w:r w:rsidR="00961063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https://www.accessdata.fda.gov/cdrh_docs/pdf15/P150010d.pdf</w:t>
        </w:r>
      </w:hyperlink>
    </w:p>
    <w:p w14:paraId="0A396E6E" w14:textId="6F26C8D2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Monovisc package insert.</w:t>
      </w:r>
      <w:r w:rsidR="007451F8" w:rsidRPr="007451F8">
        <w:t xml:space="preserve"> </w:t>
      </w:r>
      <w:hyperlink r:id="rId17" w:history="1">
        <w:r w:rsidR="007451F8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https://www.accessdata.fda.gov/cdrh_docs/pdf9/P090031c.pdf</w:t>
        </w:r>
      </w:hyperlink>
    </w:p>
    <w:p w14:paraId="0409688A" w14:textId="5409579D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Orthovisc package insert. </w:t>
      </w:r>
      <w:hyperlink r:id="rId18" w:history="1">
        <w:r w:rsidR="008F7E37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https://www.accessdata.fda.gov/cdrh_docs/pdf3/P030019c.pdf</w:t>
        </w:r>
      </w:hyperlink>
    </w:p>
    <w:p w14:paraId="7167B152" w14:textId="4C301B7F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Supartz FX package insert.</w:t>
      </w:r>
      <w:r w:rsidR="008340B7" w:rsidRPr="008340B7">
        <w:t xml:space="preserve"> </w:t>
      </w:r>
      <w:hyperlink r:id="rId19" w:history="1">
        <w:r w:rsidR="008340B7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https://www.oakneepainrelief.com/wp-content/uploads/2019/09/Supartz_FX_IFU.pdf</w:t>
        </w:r>
      </w:hyperlink>
    </w:p>
    <w:p w14:paraId="7BEF894A" w14:textId="62BC494B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Syno</w:t>
      </w:r>
      <w:r w:rsidR="008340B7">
        <w:rPr>
          <w:rFonts w:ascii="Futura" w:eastAsia="Calibri" w:hAnsi="Futura" w:cs="Calibri"/>
          <w:color w:val="000000"/>
          <w:sz w:val="20"/>
          <w:szCs w:val="20"/>
          <w:lang w:bidi="en-US"/>
        </w:rPr>
        <w:t>J</w:t>
      </w: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oynt package insert.</w:t>
      </w:r>
      <w:r w:rsidR="008340B7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hyperlink r:id="rId20" w:history="1">
        <w:r w:rsidR="000904F3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https://www.accessdata.fda.gov/cdrh_docs/pdf17/P170016D.pdf</w:t>
        </w:r>
      </w:hyperlink>
    </w:p>
    <w:p w14:paraId="08B74B54" w14:textId="608A6F92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Synvisc package insert.</w:t>
      </w:r>
      <w:r w:rsidR="00E46B65" w:rsidRPr="00E46B65">
        <w:t xml:space="preserve"> </w:t>
      </w:r>
      <w:hyperlink r:id="rId21" w:history="1">
        <w:r w:rsidR="00E46B65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https://products.sanofi.us/synvisc/synvisc.html</w:t>
        </w:r>
      </w:hyperlink>
    </w:p>
    <w:p w14:paraId="15D2AE99" w14:textId="6F5D62FC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Synvisc One package insert.</w:t>
      </w:r>
      <w:r w:rsidR="00E46B65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hyperlink r:id="rId22" w:history="1">
        <w:r w:rsidR="003D3991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https://products.sanofi.us/synviscone/synviscone.html</w:t>
        </w:r>
      </w:hyperlink>
    </w:p>
    <w:p w14:paraId="045EAE07" w14:textId="74776002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Triluron package insert.</w:t>
      </w:r>
      <w:r w:rsidR="003D3991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hyperlink r:id="rId23" w:history="1">
        <w:r w:rsidR="00637947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https://www.accessdata.fda.gov/cdrh_docs/pdf18/P180040D.pdf</w:t>
        </w:r>
      </w:hyperlink>
    </w:p>
    <w:p w14:paraId="2E5C925F" w14:textId="3B2AC12E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Tri</w:t>
      </w:r>
      <w:r w:rsidR="00C469A6">
        <w:rPr>
          <w:rFonts w:ascii="Futura" w:eastAsia="Calibri" w:hAnsi="Futura" w:cs="Calibri"/>
          <w:color w:val="000000"/>
          <w:sz w:val="20"/>
          <w:szCs w:val="20"/>
          <w:lang w:bidi="en-US"/>
        </w:rPr>
        <w:t>V</w:t>
      </w: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isc package insert.</w:t>
      </w:r>
      <w:r w:rsidR="00637947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hyperlink r:id="rId24" w:history="1">
        <w:r w:rsidR="00C469A6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https://orthogenrx.com/wp-content/uploads/2022/04/TriVisc-PI.pdf</w:t>
        </w:r>
      </w:hyperlink>
    </w:p>
    <w:p w14:paraId="68C7923A" w14:textId="1BD127A9" w:rsidR="009F2E16" w:rsidRPr="009F2E16" w:rsidRDefault="009F2E1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9F2E16">
        <w:rPr>
          <w:rFonts w:ascii="Futura" w:eastAsia="Calibri" w:hAnsi="Futura" w:cs="Calibri"/>
          <w:color w:val="000000"/>
          <w:sz w:val="20"/>
          <w:szCs w:val="20"/>
          <w:lang w:bidi="en-US"/>
        </w:rPr>
        <w:t>Visco-3 package insert.</w:t>
      </w:r>
      <w:r w:rsidR="00C469A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hyperlink r:id="rId25" w:history="1">
        <w:r w:rsidR="00D607B7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https://www.accessdata.fda.gov/cdrh_docs/pdf/P980044S027d.pdf</w:t>
        </w:r>
      </w:hyperlink>
    </w:p>
    <w:p w14:paraId="2A62542D" w14:textId="0CB3D63E" w:rsidR="00FA7C17" w:rsidRPr="00F64756" w:rsidRDefault="00F6475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eternalHealth Medicare Part B Prior Authorization List.  </w:t>
      </w:r>
      <w:hyperlink r:id="rId26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https://www.eternalhealth.com/wp-content/uploads/2022/10/eternalHealth_MA-Part-B-PA-List-eff-1-1-2025.pdf</w:t>
        </w:r>
      </w:hyperlink>
    </w:p>
    <w:p w14:paraId="55401300" w14:textId="177C702B" w:rsidR="00A46203" w:rsidRPr="00AA09A0" w:rsidRDefault="00F45E5D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CMS ASP Pricing Files.  </w:t>
      </w:r>
      <w:hyperlink r:id="rId27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https://www.cms.gov/medicare/payment/part-b-drugs/asp-pricing-files</w:t>
        </w:r>
      </w:hyperlink>
    </w:p>
    <w:p w14:paraId="0660324A" w14:textId="77777777" w:rsidR="009C7DD7" w:rsidRDefault="009C7DD7" w:rsidP="009C7DD7">
      <w:pPr>
        <w:pStyle w:val="ListParagraph"/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17ACA0E" w14:textId="0FC644FC" w:rsidR="000D5D23" w:rsidRPr="00171CC3" w:rsidRDefault="000D5D2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sectPr w:rsidR="000D5D23" w:rsidRPr="00171CC3" w:rsidSect="00CB0ED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Futura">
    <w:altName w:val="Century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EC75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588C2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A16F38"/>
    <w:multiLevelType w:val="hybridMultilevel"/>
    <w:tmpl w:val="04407252"/>
    <w:lvl w:ilvl="0" w:tplc="4F8400B2">
      <w:start w:val="1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C2E300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D42D04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B6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0FA12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1EC698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9E76CE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AF72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447CF4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7888"/>
    <w:multiLevelType w:val="hybridMultilevel"/>
    <w:tmpl w:val="86DA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7DAF"/>
    <w:multiLevelType w:val="multilevel"/>
    <w:tmpl w:val="DA9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10777"/>
    <w:multiLevelType w:val="hybridMultilevel"/>
    <w:tmpl w:val="3D72C4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8FF26E8"/>
    <w:multiLevelType w:val="hybridMultilevel"/>
    <w:tmpl w:val="D104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B5152"/>
    <w:multiLevelType w:val="hybridMultilevel"/>
    <w:tmpl w:val="D7A6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E15F3"/>
    <w:multiLevelType w:val="multilevel"/>
    <w:tmpl w:val="8892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670E6"/>
    <w:multiLevelType w:val="hybridMultilevel"/>
    <w:tmpl w:val="039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66C6F"/>
    <w:multiLevelType w:val="hybridMultilevel"/>
    <w:tmpl w:val="74AC4940"/>
    <w:lvl w:ilvl="0" w:tplc="70C0DBAA">
      <w:start w:val="28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0CE24C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52CC28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C1BA2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E6D708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F299C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A4038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4DE7A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89694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8E1D87"/>
    <w:multiLevelType w:val="hybridMultilevel"/>
    <w:tmpl w:val="8156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4E3A"/>
    <w:multiLevelType w:val="hybridMultilevel"/>
    <w:tmpl w:val="6FDC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A5804"/>
    <w:multiLevelType w:val="hybridMultilevel"/>
    <w:tmpl w:val="1600418E"/>
    <w:lvl w:ilvl="0" w:tplc="DC3A31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02550"/>
    <w:multiLevelType w:val="hybridMultilevel"/>
    <w:tmpl w:val="38F2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D417C"/>
    <w:multiLevelType w:val="hybridMultilevel"/>
    <w:tmpl w:val="D1C65420"/>
    <w:lvl w:ilvl="0" w:tplc="AD16C81E">
      <w:start w:val="1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8364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D80916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7CCAC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16CFAA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2463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CAAA4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F29CB6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668E06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017C16"/>
    <w:multiLevelType w:val="multilevel"/>
    <w:tmpl w:val="61DEEA6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56F6B5F"/>
    <w:multiLevelType w:val="hybridMultilevel"/>
    <w:tmpl w:val="E640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13DE8"/>
    <w:multiLevelType w:val="hybridMultilevel"/>
    <w:tmpl w:val="36140DD0"/>
    <w:lvl w:ilvl="0" w:tplc="24C059E0">
      <w:start w:val="20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005068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EB7CC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74326A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88D67E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F0EDFE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C69C9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A6E0C0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7847C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9905C5"/>
    <w:multiLevelType w:val="hybridMultilevel"/>
    <w:tmpl w:val="E954CFDE"/>
    <w:lvl w:ilvl="0" w:tplc="14A66536">
      <w:start w:val="1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26961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CE1E8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5EABEA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7809CE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64A700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C2D2C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2A4F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1414C0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BA642E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20862"/>
    <w:multiLevelType w:val="hybridMultilevel"/>
    <w:tmpl w:val="87704A18"/>
    <w:lvl w:ilvl="0" w:tplc="EDA0CBD4">
      <w:start w:val="1"/>
      <w:numFmt w:val="lowerLetter"/>
      <w:lvlText w:val="%1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72C57A">
      <w:start w:val="1"/>
      <w:numFmt w:val="lowerLetter"/>
      <w:lvlText w:val="%2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04F5CE">
      <w:start w:val="1"/>
      <w:numFmt w:val="lowerRoman"/>
      <w:lvlText w:val="%3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9E76E8">
      <w:start w:val="1"/>
      <w:numFmt w:val="decimal"/>
      <w:lvlText w:val="%4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2039FC">
      <w:start w:val="1"/>
      <w:numFmt w:val="lowerLetter"/>
      <w:lvlText w:val="%5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50F0AA">
      <w:start w:val="1"/>
      <w:numFmt w:val="lowerRoman"/>
      <w:lvlText w:val="%6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1C5982">
      <w:start w:val="1"/>
      <w:numFmt w:val="decimal"/>
      <w:lvlText w:val="%7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ACF7E">
      <w:start w:val="1"/>
      <w:numFmt w:val="lowerLetter"/>
      <w:lvlText w:val="%8"/>
      <w:lvlJc w:val="left"/>
      <w:pPr>
        <w:ind w:left="6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04B234">
      <w:start w:val="1"/>
      <w:numFmt w:val="lowerRoman"/>
      <w:lvlText w:val="%9"/>
      <w:lvlJc w:val="left"/>
      <w:pPr>
        <w:ind w:left="7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643599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01042"/>
    <w:multiLevelType w:val="hybridMultilevel"/>
    <w:tmpl w:val="D348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B0BF8"/>
    <w:multiLevelType w:val="hybridMultilevel"/>
    <w:tmpl w:val="C4B6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76CED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63BF8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94FEF"/>
    <w:multiLevelType w:val="hybridMultilevel"/>
    <w:tmpl w:val="2B3E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570A1"/>
    <w:multiLevelType w:val="hybridMultilevel"/>
    <w:tmpl w:val="32E0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A44B5"/>
    <w:multiLevelType w:val="multilevel"/>
    <w:tmpl w:val="1A9AC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46125C"/>
    <w:multiLevelType w:val="hybridMultilevel"/>
    <w:tmpl w:val="20C6D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04D1C"/>
    <w:multiLevelType w:val="hybridMultilevel"/>
    <w:tmpl w:val="CE9E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7547C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40044">
    <w:abstractNumId w:val="24"/>
  </w:num>
  <w:num w:numId="2" w16cid:durableId="149489090">
    <w:abstractNumId w:val="3"/>
  </w:num>
  <w:num w:numId="3" w16cid:durableId="1841892029">
    <w:abstractNumId w:val="16"/>
  </w:num>
  <w:num w:numId="4" w16cid:durableId="15394699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9265964">
    <w:abstractNumId w:val="3"/>
  </w:num>
  <w:num w:numId="6" w16cid:durableId="948857263">
    <w:abstractNumId w:val="1"/>
  </w:num>
  <w:num w:numId="7" w16cid:durableId="1671447188">
    <w:abstractNumId w:val="0"/>
  </w:num>
  <w:num w:numId="8" w16cid:durableId="1606309177">
    <w:abstractNumId w:val="9"/>
  </w:num>
  <w:num w:numId="9" w16cid:durableId="714888999">
    <w:abstractNumId w:val="29"/>
  </w:num>
  <w:num w:numId="10" w16cid:durableId="724990488">
    <w:abstractNumId w:val="11"/>
  </w:num>
  <w:num w:numId="11" w16cid:durableId="849368870">
    <w:abstractNumId w:val="20"/>
  </w:num>
  <w:num w:numId="12" w16cid:durableId="1875580773">
    <w:abstractNumId w:val="32"/>
  </w:num>
  <w:num w:numId="13" w16cid:durableId="1177887514">
    <w:abstractNumId w:val="26"/>
  </w:num>
  <w:num w:numId="14" w16cid:durableId="290327482">
    <w:abstractNumId w:val="25"/>
  </w:num>
  <w:num w:numId="15" w16cid:durableId="1617060357">
    <w:abstractNumId w:val="22"/>
  </w:num>
  <w:num w:numId="16" w16cid:durableId="16197046">
    <w:abstractNumId w:val="23"/>
  </w:num>
  <w:num w:numId="17" w16cid:durableId="231086096">
    <w:abstractNumId w:val="14"/>
  </w:num>
  <w:num w:numId="18" w16cid:durableId="2043944263">
    <w:abstractNumId w:val="28"/>
  </w:num>
  <w:num w:numId="19" w16cid:durableId="1848204807">
    <w:abstractNumId w:val="30"/>
  </w:num>
  <w:num w:numId="20" w16cid:durableId="861817097">
    <w:abstractNumId w:val="7"/>
  </w:num>
  <w:num w:numId="21" w16cid:durableId="1689024525">
    <w:abstractNumId w:val="13"/>
  </w:num>
  <w:num w:numId="22" w16cid:durableId="375931150">
    <w:abstractNumId w:val="2"/>
  </w:num>
  <w:num w:numId="23" w16cid:durableId="1451432766">
    <w:abstractNumId w:val="21"/>
  </w:num>
  <w:num w:numId="24" w16cid:durableId="680401851">
    <w:abstractNumId w:val="18"/>
  </w:num>
  <w:num w:numId="25" w16cid:durableId="1921599919">
    <w:abstractNumId w:val="10"/>
  </w:num>
  <w:num w:numId="26" w16cid:durableId="1664746064">
    <w:abstractNumId w:val="15"/>
  </w:num>
  <w:num w:numId="27" w16cid:durableId="974142410">
    <w:abstractNumId w:val="31"/>
  </w:num>
  <w:num w:numId="28" w16cid:durableId="1651515037">
    <w:abstractNumId w:val="12"/>
  </w:num>
  <w:num w:numId="29" w16cid:durableId="1723672510">
    <w:abstractNumId w:val="19"/>
  </w:num>
  <w:num w:numId="30" w16cid:durableId="31996377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133904438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91050385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33726950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12832693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91208075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126977486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116381249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42719230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9" w16cid:durableId="109131430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0" w16cid:durableId="201329348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1" w16cid:durableId="144588585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 w16cid:durableId="12702093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3" w16cid:durableId="136532628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4071634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234629052">
    <w:abstractNumId w:val="5"/>
  </w:num>
  <w:num w:numId="46" w16cid:durableId="1197693514">
    <w:abstractNumId w:val="6"/>
  </w:num>
  <w:num w:numId="47" w16cid:durableId="605383999">
    <w:abstractNumId w:val="27"/>
  </w:num>
  <w:num w:numId="48" w16cid:durableId="327784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3"/>
    <w:rsid w:val="00001CF6"/>
    <w:rsid w:val="00002194"/>
    <w:rsid w:val="0000381F"/>
    <w:rsid w:val="00006F2B"/>
    <w:rsid w:val="00026D98"/>
    <w:rsid w:val="0004331F"/>
    <w:rsid w:val="00050288"/>
    <w:rsid w:val="0005293D"/>
    <w:rsid w:val="00052DD9"/>
    <w:rsid w:val="00055090"/>
    <w:rsid w:val="00070C3E"/>
    <w:rsid w:val="00087AC4"/>
    <w:rsid w:val="000904F3"/>
    <w:rsid w:val="00095439"/>
    <w:rsid w:val="000A72D9"/>
    <w:rsid w:val="000C006B"/>
    <w:rsid w:val="000C23EB"/>
    <w:rsid w:val="000C4424"/>
    <w:rsid w:val="000D5D23"/>
    <w:rsid w:val="000E48B4"/>
    <w:rsid w:val="000E7D6A"/>
    <w:rsid w:val="000F0644"/>
    <w:rsid w:val="000F5645"/>
    <w:rsid w:val="0010271C"/>
    <w:rsid w:val="00111DE8"/>
    <w:rsid w:val="00111E83"/>
    <w:rsid w:val="0013315A"/>
    <w:rsid w:val="00146F48"/>
    <w:rsid w:val="00163B05"/>
    <w:rsid w:val="00171CC3"/>
    <w:rsid w:val="001732AA"/>
    <w:rsid w:val="00177C84"/>
    <w:rsid w:val="0018204C"/>
    <w:rsid w:val="00197B05"/>
    <w:rsid w:val="001A17A5"/>
    <w:rsid w:val="001C3AA0"/>
    <w:rsid w:val="001C5166"/>
    <w:rsid w:val="001C6D04"/>
    <w:rsid w:val="001D3758"/>
    <w:rsid w:val="001D52B4"/>
    <w:rsid w:val="001F0530"/>
    <w:rsid w:val="00200AF5"/>
    <w:rsid w:val="00203CEF"/>
    <w:rsid w:val="002068E2"/>
    <w:rsid w:val="002102C2"/>
    <w:rsid w:val="00213632"/>
    <w:rsid w:val="00220A48"/>
    <w:rsid w:val="00222048"/>
    <w:rsid w:val="00222323"/>
    <w:rsid w:val="00222D66"/>
    <w:rsid w:val="00232169"/>
    <w:rsid w:val="00234EA0"/>
    <w:rsid w:val="00255C58"/>
    <w:rsid w:val="00261E9C"/>
    <w:rsid w:val="00270308"/>
    <w:rsid w:val="00281ADA"/>
    <w:rsid w:val="00282EC9"/>
    <w:rsid w:val="00284C10"/>
    <w:rsid w:val="0029343B"/>
    <w:rsid w:val="002C661D"/>
    <w:rsid w:val="002D3FFC"/>
    <w:rsid w:val="002F4966"/>
    <w:rsid w:val="00310B8F"/>
    <w:rsid w:val="00311667"/>
    <w:rsid w:val="00320403"/>
    <w:rsid w:val="0033442B"/>
    <w:rsid w:val="00350A24"/>
    <w:rsid w:val="00362E72"/>
    <w:rsid w:val="00370721"/>
    <w:rsid w:val="00372252"/>
    <w:rsid w:val="003774C8"/>
    <w:rsid w:val="00377560"/>
    <w:rsid w:val="0038314B"/>
    <w:rsid w:val="00384870"/>
    <w:rsid w:val="003B405F"/>
    <w:rsid w:val="003D0B4F"/>
    <w:rsid w:val="003D3991"/>
    <w:rsid w:val="003E1B92"/>
    <w:rsid w:val="003F0AB1"/>
    <w:rsid w:val="004000A6"/>
    <w:rsid w:val="0040094E"/>
    <w:rsid w:val="00400AA7"/>
    <w:rsid w:val="00401E90"/>
    <w:rsid w:val="004057BB"/>
    <w:rsid w:val="00405835"/>
    <w:rsid w:val="0041548D"/>
    <w:rsid w:val="0041776D"/>
    <w:rsid w:val="004219F6"/>
    <w:rsid w:val="0043033F"/>
    <w:rsid w:val="00436A19"/>
    <w:rsid w:val="00436E7B"/>
    <w:rsid w:val="00446EA0"/>
    <w:rsid w:val="00466972"/>
    <w:rsid w:val="00474DCE"/>
    <w:rsid w:val="004806F9"/>
    <w:rsid w:val="004807F3"/>
    <w:rsid w:val="0048304F"/>
    <w:rsid w:val="00485617"/>
    <w:rsid w:val="004876ED"/>
    <w:rsid w:val="004A5386"/>
    <w:rsid w:val="004A6CAF"/>
    <w:rsid w:val="004B711A"/>
    <w:rsid w:val="004B7D63"/>
    <w:rsid w:val="004C0821"/>
    <w:rsid w:val="004D2403"/>
    <w:rsid w:val="004E3731"/>
    <w:rsid w:val="004E3830"/>
    <w:rsid w:val="004F0D94"/>
    <w:rsid w:val="004F1727"/>
    <w:rsid w:val="004F56DC"/>
    <w:rsid w:val="004F5EE3"/>
    <w:rsid w:val="004F6471"/>
    <w:rsid w:val="004F6CF7"/>
    <w:rsid w:val="005027EC"/>
    <w:rsid w:val="00510459"/>
    <w:rsid w:val="005226EB"/>
    <w:rsid w:val="00523519"/>
    <w:rsid w:val="00524CF7"/>
    <w:rsid w:val="005372E4"/>
    <w:rsid w:val="00537395"/>
    <w:rsid w:val="00541A38"/>
    <w:rsid w:val="00541FB8"/>
    <w:rsid w:val="00542D9D"/>
    <w:rsid w:val="0055003C"/>
    <w:rsid w:val="00554794"/>
    <w:rsid w:val="00561E8F"/>
    <w:rsid w:val="00563F86"/>
    <w:rsid w:val="00564D9D"/>
    <w:rsid w:val="00574C5A"/>
    <w:rsid w:val="005773AB"/>
    <w:rsid w:val="00580239"/>
    <w:rsid w:val="00581FB0"/>
    <w:rsid w:val="00585969"/>
    <w:rsid w:val="00587BC5"/>
    <w:rsid w:val="00596AA0"/>
    <w:rsid w:val="005A2A36"/>
    <w:rsid w:val="005A5076"/>
    <w:rsid w:val="005B1B78"/>
    <w:rsid w:val="005B66F8"/>
    <w:rsid w:val="005C3DC3"/>
    <w:rsid w:val="005D0A2F"/>
    <w:rsid w:val="005F6064"/>
    <w:rsid w:val="005F755B"/>
    <w:rsid w:val="00624B5F"/>
    <w:rsid w:val="00627E28"/>
    <w:rsid w:val="0063092D"/>
    <w:rsid w:val="006315C5"/>
    <w:rsid w:val="00637947"/>
    <w:rsid w:val="00644051"/>
    <w:rsid w:val="00645EAC"/>
    <w:rsid w:val="00647389"/>
    <w:rsid w:val="006502EC"/>
    <w:rsid w:val="006522B1"/>
    <w:rsid w:val="006661F8"/>
    <w:rsid w:val="00670496"/>
    <w:rsid w:val="00671635"/>
    <w:rsid w:val="006747AA"/>
    <w:rsid w:val="00682D71"/>
    <w:rsid w:val="006833C6"/>
    <w:rsid w:val="006837C1"/>
    <w:rsid w:val="00686FFE"/>
    <w:rsid w:val="006932C2"/>
    <w:rsid w:val="006A3E9C"/>
    <w:rsid w:val="006C570F"/>
    <w:rsid w:val="006C791A"/>
    <w:rsid w:val="006D4720"/>
    <w:rsid w:val="006E1546"/>
    <w:rsid w:val="006E2283"/>
    <w:rsid w:val="006E7273"/>
    <w:rsid w:val="0070226E"/>
    <w:rsid w:val="00702342"/>
    <w:rsid w:val="0071688B"/>
    <w:rsid w:val="007230EC"/>
    <w:rsid w:val="0072344F"/>
    <w:rsid w:val="007301A3"/>
    <w:rsid w:val="00736E50"/>
    <w:rsid w:val="00740D32"/>
    <w:rsid w:val="00741603"/>
    <w:rsid w:val="00742CF1"/>
    <w:rsid w:val="007451F8"/>
    <w:rsid w:val="00760A91"/>
    <w:rsid w:val="007610DB"/>
    <w:rsid w:val="00764E03"/>
    <w:rsid w:val="007812DC"/>
    <w:rsid w:val="00796992"/>
    <w:rsid w:val="007A409D"/>
    <w:rsid w:val="007B4386"/>
    <w:rsid w:val="007C25F4"/>
    <w:rsid w:val="007C5A44"/>
    <w:rsid w:val="007D2160"/>
    <w:rsid w:val="007E38D8"/>
    <w:rsid w:val="007E54DC"/>
    <w:rsid w:val="007E659B"/>
    <w:rsid w:val="007F4F63"/>
    <w:rsid w:val="00811596"/>
    <w:rsid w:val="008140E0"/>
    <w:rsid w:val="008169B9"/>
    <w:rsid w:val="00823585"/>
    <w:rsid w:val="00827A7B"/>
    <w:rsid w:val="00832A58"/>
    <w:rsid w:val="00833D5F"/>
    <w:rsid w:val="008340B7"/>
    <w:rsid w:val="00834861"/>
    <w:rsid w:val="00835DAB"/>
    <w:rsid w:val="00847FE4"/>
    <w:rsid w:val="0086116A"/>
    <w:rsid w:val="00883B3D"/>
    <w:rsid w:val="00892F25"/>
    <w:rsid w:val="008955F5"/>
    <w:rsid w:val="008B38E2"/>
    <w:rsid w:val="008D39C3"/>
    <w:rsid w:val="008D3BB4"/>
    <w:rsid w:val="008E134A"/>
    <w:rsid w:val="008E1C8A"/>
    <w:rsid w:val="008F1491"/>
    <w:rsid w:val="008F3574"/>
    <w:rsid w:val="008F6DA5"/>
    <w:rsid w:val="008F7E37"/>
    <w:rsid w:val="0090595D"/>
    <w:rsid w:val="0092568E"/>
    <w:rsid w:val="00930C83"/>
    <w:rsid w:val="00934560"/>
    <w:rsid w:val="0094074E"/>
    <w:rsid w:val="00944973"/>
    <w:rsid w:val="009551AB"/>
    <w:rsid w:val="00961063"/>
    <w:rsid w:val="00962F45"/>
    <w:rsid w:val="00967F85"/>
    <w:rsid w:val="00970135"/>
    <w:rsid w:val="00977B41"/>
    <w:rsid w:val="009815F3"/>
    <w:rsid w:val="0098253C"/>
    <w:rsid w:val="00984FC0"/>
    <w:rsid w:val="009A00EB"/>
    <w:rsid w:val="009A1FD0"/>
    <w:rsid w:val="009A65B2"/>
    <w:rsid w:val="009B2EC7"/>
    <w:rsid w:val="009B5CC7"/>
    <w:rsid w:val="009C0DCC"/>
    <w:rsid w:val="009C1F2E"/>
    <w:rsid w:val="009C2524"/>
    <w:rsid w:val="009C7DD7"/>
    <w:rsid w:val="009E5E17"/>
    <w:rsid w:val="009E7009"/>
    <w:rsid w:val="009F2E16"/>
    <w:rsid w:val="009F51BE"/>
    <w:rsid w:val="009F7E38"/>
    <w:rsid w:val="00A05151"/>
    <w:rsid w:val="00A06D28"/>
    <w:rsid w:val="00A3714E"/>
    <w:rsid w:val="00A44368"/>
    <w:rsid w:val="00A46203"/>
    <w:rsid w:val="00A510FE"/>
    <w:rsid w:val="00A52B40"/>
    <w:rsid w:val="00A653B4"/>
    <w:rsid w:val="00A74550"/>
    <w:rsid w:val="00A77887"/>
    <w:rsid w:val="00A8078C"/>
    <w:rsid w:val="00A85AC1"/>
    <w:rsid w:val="00A862D2"/>
    <w:rsid w:val="00A9620B"/>
    <w:rsid w:val="00AA09A0"/>
    <w:rsid w:val="00AA44F8"/>
    <w:rsid w:val="00AB1226"/>
    <w:rsid w:val="00AC208E"/>
    <w:rsid w:val="00AC3D96"/>
    <w:rsid w:val="00AC443B"/>
    <w:rsid w:val="00B02432"/>
    <w:rsid w:val="00B125DE"/>
    <w:rsid w:val="00B15619"/>
    <w:rsid w:val="00B22139"/>
    <w:rsid w:val="00B23FE9"/>
    <w:rsid w:val="00B35E98"/>
    <w:rsid w:val="00B4631B"/>
    <w:rsid w:val="00B60704"/>
    <w:rsid w:val="00B60BDE"/>
    <w:rsid w:val="00B700A8"/>
    <w:rsid w:val="00B77D2D"/>
    <w:rsid w:val="00B816C0"/>
    <w:rsid w:val="00B8376A"/>
    <w:rsid w:val="00B85E44"/>
    <w:rsid w:val="00B864D2"/>
    <w:rsid w:val="00B86906"/>
    <w:rsid w:val="00B87B8F"/>
    <w:rsid w:val="00B91035"/>
    <w:rsid w:val="00B945C9"/>
    <w:rsid w:val="00BA7316"/>
    <w:rsid w:val="00BB10D4"/>
    <w:rsid w:val="00BB3294"/>
    <w:rsid w:val="00BC07B2"/>
    <w:rsid w:val="00BC0C87"/>
    <w:rsid w:val="00BD3E6B"/>
    <w:rsid w:val="00BE6FAE"/>
    <w:rsid w:val="00BF2603"/>
    <w:rsid w:val="00C05623"/>
    <w:rsid w:val="00C11803"/>
    <w:rsid w:val="00C11B4C"/>
    <w:rsid w:val="00C15C77"/>
    <w:rsid w:val="00C23085"/>
    <w:rsid w:val="00C3132D"/>
    <w:rsid w:val="00C3149B"/>
    <w:rsid w:val="00C469A6"/>
    <w:rsid w:val="00C5183F"/>
    <w:rsid w:val="00C523F4"/>
    <w:rsid w:val="00C71E74"/>
    <w:rsid w:val="00C82C80"/>
    <w:rsid w:val="00C84EFE"/>
    <w:rsid w:val="00C86425"/>
    <w:rsid w:val="00C9120D"/>
    <w:rsid w:val="00C96407"/>
    <w:rsid w:val="00CA4636"/>
    <w:rsid w:val="00CB0EDA"/>
    <w:rsid w:val="00CB4D37"/>
    <w:rsid w:val="00CB5E28"/>
    <w:rsid w:val="00CC2B10"/>
    <w:rsid w:val="00CD2097"/>
    <w:rsid w:val="00CD610B"/>
    <w:rsid w:val="00CD64B2"/>
    <w:rsid w:val="00CD77BC"/>
    <w:rsid w:val="00CE20F1"/>
    <w:rsid w:val="00CE393E"/>
    <w:rsid w:val="00CE56FF"/>
    <w:rsid w:val="00CF0A83"/>
    <w:rsid w:val="00D001BF"/>
    <w:rsid w:val="00D0674C"/>
    <w:rsid w:val="00D13DDD"/>
    <w:rsid w:val="00D242BA"/>
    <w:rsid w:val="00D319BA"/>
    <w:rsid w:val="00D35663"/>
    <w:rsid w:val="00D41FEF"/>
    <w:rsid w:val="00D52A79"/>
    <w:rsid w:val="00D607B7"/>
    <w:rsid w:val="00D65AA1"/>
    <w:rsid w:val="00D7097F"/>
    <w:rsid w:val="00D81DFE"/>
    <w:rsid w:val="00D9029B"/>
    <w:rsid w:val="00DA7EAA"/>
    <w:rsid w:val="00DB19EA"/>
    <w:rsid w:val="00DB4210"/>
    <w:rsid w:val="00DB428A"/>
    <w:rsid w:val="00DC1B0C"/>
    <w:rsid w:val="00DC55E1"/>
    <w:rsid w:val="00DC741A"/>
    <w:rsid w:val="00DD1951"/>
    <w:rsid w:val="00DE3595"/>
    <w:rsid w:val="00DF38F3"/>
    <w:rsid w:val="00E1012C"/>
    <w:rsid w:val="00E15732"/>
    <w:rsid w:val="00E22BA1"/>
    <w:rsid w:val="00E36BFB"/>
    <w:rsid w:val="00E42974"/>
    <w:rsid w:val="00E46B65"/>
    <w:rsid w:val="00E51E1F"/>
    <w:rsid w:val="00E70CA5"/>
    <w:rsid w:val="00E768B3"/>
    <w:rsid w:val="00E87C5C"/>
    <w:rsid w:val="00EA57B9"/>
    <w:rsid w:val="00EC3AD3"/>
    <w:rsid w:val="00ED3544"/>
    <w:rsid w:val="00ED739E"/>
    <w:rsid w:val="00EE7D5B"/>
    <w:rsid w:val="00EF112B"/>
    <w:rsid w:val="00EF60ED"/>
    <w:rsid w:val="00F034BA"/>
    <w:rsid w:val="00F114E0"/>
    <w:rsid w:val="00F11EF3"/>
    <w:rsid w:val="00F13FFD"/>
    <w:rsid w:val="00F1578C"/>
    <w:rsid w:val="00F16BA6"/>
    <w:rsid w:val="00F26D79"/>
    <w:rsid w:val="00F304BD"/>
    <w:rsid w:val="00F360A6"/>
    <w:rsid w:val="00F36C54"/>
    <w:rsid w:val="00F45E5D"/>
    <w:rsid w:val="00F524DA"/>
    <w:rsid w:val="00F52B83"/>
    <w:rsid w:val="00F52D8E"/>
    <w:rsid w:val="00F57795"/>
    <w:rsid w:val="00F57FC9"/>
    <w:rsid w:val="00F64756"/>
    <w:rsid w:val="00F94EF6"/>
    <w:rsid w:val="00F96E21"/>
    <w:rsid w:val="00FA3D8A"/>
    <w:rsid w:val="00FA4408"/>
    <w:rsid w:val="00FA7C17"/>
    <w:rsid w:val="00FB35AF"/>
    <w:rsid w:val="00FB396E"/>
    <w:rsid w:val="00FC1668"/>
    <w:rsid w:val="00FC1E7C"/>
    <w:rsid w:val="00FC2ADC"/>
    <w:rsid w:val="00FC554A"/>
    <w:rsid w:val="00FD42FF"/>
    <w:rsid w:val="00FD4759"/>
    <w:rsid w:val="00FE2AB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1F0F"/>
  <w15:chartTrackingRefBased/>
  <w15:docId w15:val="{BA3DBEAA-AC70-4E0D-960D-288322D3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F8"/>
  </w:style>
  <w:style w:type="paragraph" w:styleId="Heading1">
    <w:name w:val="heading 1"/>
    <w:basedOn w:val="Normal"/>
    <w:next w:val="Normal"/>
    <w:link w:val="Heading1Char"/>
    <w:uiPriority w:val="9"/>
    <w:qFormat/>
    <w:rsid w:val="00650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71C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71CC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7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0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60BD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3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cessdata.fda.gov/cdrh_docs/pdf11/P110005d.pdf" TargetMode="External"/><Relationship Id="rId18" Type="http://schemas.openxmlformats.org/officeDocument/2006/relationships/hyperlink" Target="https://www.accessdata.fda.gov/cdrh_docs/pdf3/P030019c.pdf" TargetMode="External"/><Relationship Id="rId26" Type="http://schemas.openxmlformats.org/officeDocument/2006/relationships/hyperlink" Target="https://www.eternalhealth.com/wp-content/uploads/2022/10/eternalHealth_MA-Part-B-PA-List-eff-1-1-202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roducts.sanofi.us/synvisc/synvisc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ccessdata.fda.gov/cdrh_docs/pdf8/p080020s020d.pdf" TargetMode="External"/><Relationship Id="rId17" Type="http://schemas.openxmlformats.org/officeDocument/2006/relationships/hyperlink" Target="https://www.accessdata.fda.gov/cdrh_docs/pdf9/P090031c.pdf" TargetMode="External"/><Relationship Id="rId25" Type="http://schemas.openxmlformats.org/officeDocument/2006/relationships/hyperlink" Target="https://www.accessdata.fda.gov/cdrh_docs/pdf/P980044S027d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data.fda.gov/cdrh_docs/pdf15/P150010d.pdf" TargetMode="External"/><Relationship Id="rId20" Type="http://schemas.openxmlformats.org/officeDocument/2006/relationships/hyperlink" Target="https://www.accessdata.fda.gov/cdrh_docs/pdf17/P170016D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rringusa.com/wp-content/uploads/sites/12/2024/04/EuflexxaPI-07-2016.pdf" TargetMode="External"/><Relationship Id="rId24" Type="http://schemas.openxmlformats.org/officeDocument/2006/relationships/hyperlink" Target="https://orthogenrx.com/wp-content/uploads/2022/04/TriVisc-PI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products.sanofi.us/hyalgan/hyalgan.pdf" TargetMode="External"/><Relationship Id="rId23" Type="http://schemas.openxmlformats.org/officeDocument/2006/relationships/hyperlink" Target="https://www.accessdata.fda.gov/cdrh_docs/pdf18/P180040D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ccessdata.fda.gov/cdrh_docs/pdf17/P170007D.pdf" TargetMode="External"/><Relationship Id="rId19" Type="http://schemas.openxmlformats.org/officeDocument/2006/relationships/hyperlink" Target="https://www.oakneepainrelief.com/wp-content/uploads/2019/09/Supartz_FX_IFU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elcome.optumrx.com/rxexternal/external-prescription-drug-list?type=PDPClientFormulary&amp;var=X25ETEGD&amp;infoid=X25ETEGD&amp;clientCode=ETHOEDL" TargetMode="External"/><Relationship Id="rId14" Type="http://schemas.openxmlformats.org/officeDocument/2006/relationships/hyperlink" Target="https://www.accessdata.fda.gov/cdrh_docs/pdf14/P140005d.pdf" TargetMode="External"/><Relationship Id="rId22" Type="http://schemas.openxmlformats.org/officeDocument/2006/relationships/hyperlink" Target="https://products.sanofi.us/synviscone/synviscone.html" TargetMode="External"/><Relationship Id="rId27" Type="http://schemas.openxmlformats.org/officeDocument/2006/relationships/hyperlink" Target="https://www.cms.gov/medicare/payment/part-b-drugs/asp-pricing-fi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e0462-7ad9-4cf3-8274-aa0cc4f080f3">
      <Terms xmlns="http://schemas.microsoft.com/office/infopath/2007/PartnerControls"/>
    </lcf76f155ced4ddcb4097134ff3c332f>
    <TaxCatchAll xmlns="2498f20f-782f-4f87-afd5-421022d6a8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3728796F1AF49AA5EE7049D0CA2DC" ma:contentTypeVersion="14" ma:contentTypeDescription="Create a new document." ma:contentTypeScope="" ma:versionID="65de5af41dbab921a85d81f10df3da20">
  <xsd:schema xmlns:xsd="http://www.w3.org/2001/XMLSchema" xmlns:xs="http://www.w3.org/2001/XMLSchema" xmlns:p="http://schemas.microsoft.com/office/2006/metadata/properties" xmlns:ns2="febe0462-7ad9-4cf3-8274-aa0cc4f080f3" xmlns:ns3="2498f20f-782f-4f87-afd5-421022d6a89d" targetNamespace="http://schemas.microsoft.com/office/2006/metadata/properties" ma:root="true" ma:fieldsID="0bf25b7367e3d42f5cee4169929b16ed" ns2:_="" ns3:_="">
    <xsd:import namespace="febe0462-7ad9-4cf3-8274-aa0cc4f080f3"/>
    <xsd:import namespace="2498f20f-782f-4f87-afd5-421022d6a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0462-7ad9-4cf3-8274-aa0cc4f0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46684a-a19c-4d21-91c6-41048820a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8f20f-782f-4f87-afd5-421022d6a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65e6f0-0859-4a49-ae1b-b418d9cfe567}" ma:internalName="TaxCatchAll" ma:showField="CatchAllData" ma:web="2498f20f-782f-4f87-afd5-421022d6a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CF4EE-56B7-4BC8-9965-1CCC54DC1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ba3640-328d-449a-9f7d-a6e0f48b18e2"/>
    <ds:schemaRef ds:uri="8a5f5284-53ab-4ff8-b83a-40cadec04070"/>
  </ds:schemaRefs>
</ds:datastoreItem>
</file>

<file path=customXml/itemProps2.xml><?xml version="1.0" encoding="utf-8"?>
<ds:datastoreItem xmlns:ds="http://schemas.openxmlformats.org/officeDocument/2006/customXml" ds:itemID="{8D1E1BBD-A4A4-4E15-A7C2-54D929CF97BB}"/>
</file>

<file path=customXml/itemProps3.xml><?xml version="1.0" encoding="utf-8"?>
<ds:datastoreItem xmlns:ds="http://schemas.openxmlformats.org/officeDocument/2006/customXml" ds:itemID="{89D7D37D-E0D8-46F7-BEDF-FFBFBD885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Cardinal</dc:creator>
  <cp:keywords/>
  <dc:description/>
  <cp:lastModifiedBy>John Vellutato</cp:lastModifiedBy>
  <cp:revision>4</cp:revision>
  <dcterms:created xsi:type="dcterms:W3CDTF">2025-04-09T14:07:00Z</dcterms:created>
  <dcterms:modified xsi:type="dcterms:W3CDTF">2025-07-28T19:21:00Z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0x0101004673728796F1AF49AA5EE7049D0CA2DC</vt:lpwstr>
  </property>
</Properties>
</file>